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3D" w:rsidRDefault="00A4283D">
      <w:pPr>
        <w:rPr>
          <w:noProof/>
          <w:lang w:eastAsia="fr-FR"/>
        </w:rPr>
      </w:pPr>
    </w:p>
    <w:tbl>
      <w:tblPr>
        <w:tblStyle w:val="Grilledutableau"/>
        <w:tblW w:w="21968" w:type="dxa"/>
        <w:tblInd w:w="-998" w:type="dxa"/>
        <w:tblLook w:val="04A0" w:firstRow="1" w:lastRow="0" w:firstColumn="1" w:lastColumn="0" w:noHBand="0" w:noVBand="1"/>
      </w:tblPr>
      <w:tblGrid>
        <w:gridCol w:w="1174"/>
        <w:gridCol w:w="1870"/>
        <w:gridCol w:w="1784"/>
        <w:gridCol w:w="2343"/>
        <w:gridCol w:w="1979"/>
        <w:gridCol w:w="3121"/>
        <w:gridCol w:w="2389"/>
        <w:gridCol w:w="2889"/>
        <w:gridCol w:w="2373"/>
        <w:gridCol w:w="2046"/>
      </w:tblGrid>
      <w:tr w:rsidR="005E111B" w:rsidTr="00416063">
        <w:tc>
          <w:tcPr>
            <w:tcW w:w="1174" w:type="dxa"/>
            <w:vAlign w:val="center"/>
          </w:tcPr>
          <w:p w:rsidR="005E111B" w:rsidRPr="001951A1" w:rsidRDefault="005E111B" w:rsidP="001951A1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5997" w:type="dxa"/>
            <w:gridSpan w:val="3"/>
            <w:vAlign w:val="center"/>
          </w:tcPr>
          <w:p w:rsidR="005E111B" w:rsidRPr="0002768F" w:rsidRDefault="005E111B" w:rsidP="001951A1">
            <w:pPr>
              <w:jc w:val="center"/>
              <w:rPr>
                <w:noProof/>
                <w:color w:val="000000" w:themeColor="text1"/>
                <w:sz w:val="32"/>
                <w:lang w:eastAsia="fr-FR"/>
              </w:rPr>
            </w:pPr>
            <w:r w:rsidRPr="0002768F">
              <w:rPr>
                <w:noProof/>
                <w:color w:val="000000" w:themeColor="text1"/>
                <w:sz w:val="32"/>
                <w:lang w:eastAsia="fr-FR"/>
              </w:rPr>
              <w:t>ELEVES</w:t>
            </w:r>
          </w:p>
        </w:tc>
        <w:tc>
          <w:tcPr>
            <w:tcW w:w="1979" w:type="dxa"/>
          </w:tcPr>
          <w:p w:rsidR="005E111B" w:rsidRPr="0002768F" w:rsidRDefault="005E111B" w:rsidP="001951A1">
            <w:pPr>
              <w:jc w:val="center"/>
              <w:rPr>
                <w:noProof/>
                <w:color w:val="000000" w:themeColor="text1"/>
                <w:sz w:val="32"/>
                <w:lang w:eastAsia="fr-FR"/>
              </w:rPr>
            </w:pPr>
            <w:r w:rsidRPr="0002768F">
              <w:rPr>
                <w:noProof/>
                <w:color w:val="000000" w:themeColor="text1"/>
                <w:sz w:val="32"/>
                <w:lang w:eastAsia="fr-FR"/>
              </w:rPr>
              <w:t>FAMILLES</w:t>
            </w:r>
          </w:p>
        </w:tc>
        <w:tc>
          <w:tcPr>
            <w:tcW w:w="8399" w:type="dxa"/>
            <w:gridSpan w:val="3"/>
          </w:tcPr>
          <w:p w:rsidR="005E111B" w:rsidRPr="0002768F" w:rsidRDefault="005E111B" w:rsidP="001951A1">
            <w:pPr>
              <w:jc w:val="center"/>
              <w:rPr>
                <w:noProof/>
                <w:color w:val="000000" w:themeColor="text1"/>
                <w:sz w:val="32"/>
                <w:lang w:eastAsia="fr-FR"/>
              </w:rPr>
            </w:pPr>
            <w:r w:rsidRPr="0002768F">
              <w:rPr>
                <w:noProof/>
                <w:color w:val="000000" w:themeColor="text1"/>
                <w:sz w:val="32"/>
                <w:lang w:eastAsia="fr-FR"/>
              </w:rPr>
              <w:t>EQUIPE PEDAGOGIQUE</w:t>
            </w:r>
          </w:p>
        </w:tc>
        <w:tc>
          <w:tcPr>
            <w:tcW w:w="2373" w:type="dxa"/>
          </w:tcPr>
          <w:p w:rsidR="005E111B" w:rsidRPr="0002768F" w:rsidRDefault="005E111B" w:rsidP="001951A1">
            <w:pPr>
              <w:jc w:val="center"/>
              <w:rPr>
                <w:noProof/>
                <w:color w:val="000000" w:themeColor="text1"/>
                <w:sz w:val="32"/>
                <w:lang w:eastAsia="fr-FR"/>
              </w:rPr>
            </w:pPr>
            <w:r w:rsidRPr="0002768F">
              <w:rPr>
                <w:noProof/>
                <w:color w:val="000000" w:themeColor="text1"/>
                <w:sz w:val="32"/>
                <w:lang w:eastAsia="fr-FR"/>
              </w:rPr>
              <w:t>EVALUATION</w:t>
            </w:r>
          </w:p>
        </w:tc>
        <w:tc>
          <w:tcPr>
            <w:tcW w:w="2046" w:type="dxa"/>
          </w:tcPr>
          <w:p w:rsidR="005E111B" w:rsidRPr="0002768F" w:rsidRDefault="005E111B" w:rsidP="001951A1">
            <w:pPr>
              <w:jc w:val="center"/>
              <w:rPr>
                <w:noProof/>
                <w:color w:val="000000" w:themeColor="text1"/>
                <w:sz w:val="32"/>
                <w:lang w:eastAsia="fr-FR"/>
              </w:rPr>
            </w:pPr>
            <w:r w:rsidRPr="0002768F">
              <w:rPr>
                <w:noProof/>
                <w:color w:val="000000" w:themeColor="text1"/>
                <w:sz w:val="32"/>
                <w:lang w:eastAsia="fr-FR"/>
              </w:rPr>
              <w:t>Dynamique</w:t>
            </w:r>
          </w:p>
        </w:tc>
      </w:tr>
      <w:tr w:rsidR="005E111B" w:rsidTr="00416063">
        <w:tc>
          <w:tcPr>
            <w:tcW w:w="1174" w:type="dxa"/>
            <w:vMerge w:val="restart"/>
            <w:vAlign w:val="center"/>
          </w:tcPr>
          <w:p w:rsidR="005E111B" w:rsidRPr="001951A1" w:rsidRDefault="005E111B" w:rsidP="00923BEF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Domaine</w:t>
            </w:r>
          </w:p>
        </w:tc>
        <w:tc>
          <w:tcPr>
            <w:tcW w:w="1870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A</w:t>
            </w:r>
          </w:p>
        </w:tc>
        <w:tc>
          <w:tcPr>
            <w:tcW w:w="1784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B</w:t>
            </w:r>
          </w:p>
        </w:tc>
        <w:tc>
          <w:tcPr>
            <w:tcW w:w="2343" w:type="dxa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C</w:t>
            </w:r>
          </w:p>
        </w:tc>
        <w:tc>
          <w:tcPr>
            <w:tcW w:w="1979" w:type="dxa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3121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C</w:t>
            </w:r>
          </w:p>
        </w:tc>
        <w:tc>
          <w:tcPr>
            <w:tcW w:w="2389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</w:t>
            </w:r>
          </w:p>
        </w:tc>
        <w:tc>
          <w:tcPr>
            <w:tcW w:w="2889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E</w:t>
            </w:r>
          </w:p>
        </w:tc>
        <w:tc>
          <w:tcPr>
            <w:tcW w:w="2373" w:type="dxa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  <w:tc>
          <w:tcPr>
            <w:tcW w:w="2046" w:type="dxa"/>
            <w:vAlign w:val="center"/>
          </w:tcPr>
          <w:p w:rsidR="005E111B" w:rsidRPr="0002768F" w:rsidRDefault="005E111B" w:rsidP="00923BEF">
            <w:pPr>
              <w:jc w:val="center"/>
              <w:rPr>
                <w:noProof/>
                <w:color w:val="000000" w:themeColor="text1"/>
                <w:lang w:eastAsia="fr-FR"/>
              </w:rPr>
            </w:pPr>
          </w:p>
        </w:tc>
      </w:tr>
      <w:tr w:rsidR="005E111B" w:rsidTr="00416063">
        <w:tc>
          <w:tcPr>
            <w:tcW w:w="1174" w:type="dxa"/>
            <w:vMerge/>
            <w:vAlign w:val="center"/>
          </w:tcPr>
          <w:p w:rsidR="005E111B" w:rsidRPr="001951A1" w:rsidRDefault="005E111B" w:rsidP="00923BEF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870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Considération positive de l’élève</w:t>
            </w:r>
          </w:p>
        </w:tc>
        <w:tc>
          <w:tcPr>
            <w:tcW w:w="1784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Amélioration significative des acquis des élèves</w:t>
            </w:r>
          </w:p>
          <w:p w:rsidR="00B3164D" w:rsidRPr="0002768F" w:rsidRDefault="00B3164D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(niveaux de compétence)</w:t>
            </w:r>
          </w:p>
        </w:tc>
        <w:tc>
          <w:tcPr>
            <w:tcW w:w="2343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Implication de l’élève :</w:t>
            </w:r>
          </w:p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autonomie et responsabi</w:t>
            </w:r>
            <w:r w:rsidR="00974BFA"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li</w:t>
            </w: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 xml:space="preserve">sation </w:t>
            </w:r>
          </w:p>
        </w:tc>
        <w:tc>
          <w:tcPr>
            <w:tcW w:w="1979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Implication des familles</w:t>
            </w:r>
          </w:p>
        </w:tc>
        <w:tc>
          <w:tcPr>
            <w:tcW w:w="3121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Développement professionnel des enseignants</w:t>
            </w:r>
          </w:p>
        </w:tc>
        <w:tc>
          <w:tcPr>
            <w:tcW w:w="2389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Changement dans l’organisation du travail</w:t>
            </w:r>
          </w:p>
        </w:tc>
        <w:tc>
          <w:tcPr>
            <w:tcW w:w="2889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28"/>
                <w:lang w:eastAsia="fr-FR"/>
              </w:rPr>
              <w:t>Compétence collective, partage des rôles et des responsabilités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jc w:val="center"/>
              <w:rPr>
                <w:b/>
                <w:noProof/>
                <w:color w:val="000000" w:themeColor="text1"/>
                <w:sz w:val="32"/>
                <w:lang w:eastAsia="fr-FR"/>
              </w:rPr>
            </w:pPr>
          </w:p>
          <w:p w:rsidR="005E111B" w:rsidRPr="0002768F" w:rsidRDefault="00416063" w:rsidP="00416063">
            <w:pPr>
              <w:jc w:val="center"/>
              <w:rPr>
                <w:b/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sz w:val="32"/>
                <w:lang w:eastAsia="fr-FR"/>
              </w:rPr>
              <w:t>Evaluation du projet</w:t>
            </w:r>
          </w:p>
        </w:tc>
        <w:tc>
          <w:tcPr>
            <w:tcW w:w="2046" w:type="dxa"/>
            <w:vAlign w:val="center"/>
          </w:tcPr>
          <w:p w:rsidR="005E111B" w:rsidRPr="0002768F" w:rsidRDefault="005E111B" w:rsidP="00923BEF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</w:p>
        </w:tc>
      </w:tr>
      <w:tr w:rsidR="00416063" w:rsidTr="00416063">
        <w:tc>
          <w:tcPr>
            <w:tcW w:w="1174" w:type="dxa"/>
            <w:vAlign w:val="center"/>
          </w:tcPr>
          <w:p w:rsidR="00416063" w:rsidRPr="001951A1" w:rsidRDefault="00416063" w:rsidP="00416063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1</w:t>
            </w:r>
            <w:r w:rsidRPr="001951A1">
              <w:rPr>
                <w:b/>
                <w:noProof/>
                <w:vertAlign w:val="superscript"/>
                <w:lang w:eastAsia="fr-FR"/>
              </w:rPr>
              <w:t>er</w:t>
            </w:r>
            <w:r w:rsidRPr="001951A1">
              <w:rPr>
                <w:b/>
                <w:noProof/>
                <w:lang w:eastAsia="fr-FR"/>
              </w:rPr>
              <w:t xml:space="preserve"> degré</w:t>
            </w:r>
          </w:p>
        </w:tc>
        <w:tc>
          <w:tcPr>
            <w:tcW w:w="1870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s’intéresse plus particulièrement à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des élèves en difficulté</w:t>
            </w:r>
          </w:p>
        </w:tc>
        <w:tc>
          <w:tcPr>
            <w:tcW w:w="1784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Pas évalué pour l’instant</w:t>
            </w:r>
          </w:p>
        </w:tc>
        <w:tc>
          <w:tcPr>
            <w:tcW w:w="234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L’élève ne prend pas part à l’organisation. L’enseignant a tout prévu.</w:t>
            </w:r>
          </w:p>
        </w:tc>
        <w:tc>
          <w:tcPr>
            <w:tcW w:w="197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familles n’ont pas été informées.</w:t>
            </w:r>
          </w:p>
        </w:tc>
        <w:tc>
          <w:tcPr>
            <w:tcW w:w="3121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Peu d’écrits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ou de communication sur l’action elle-même (entre enseignants)</w:t>
            </w:r>
          </w:p>
        </w:tc>
        <w:tc>
          <w:tcPr>
            <w:tcW w:w="23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est dans le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cadre de la classe</w:t>
            </w:r>
          </w:p>
        </w:tc>
        <w:tc>
          <w:tcPr>
            <w:tcW w:w="28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relève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d’un enseignant dans sa classe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L’action n’est pas évaluée</w:t>
            </w:r>
          </w:p>
        </w:tc>
        <w:tc>
          <w:tcPr>
            <w:tcW w:w="2046" w:type="dxa"/>
            <w:vAlign w:val="center"/>
          </w:tcPr>
          <w:p w:rsidR="00416063" w:rsidRPr="0002768F" w:rsidRDefault="00416063" w:rsidP="00416063">
            <w:pPr>
              <w:jc w:val="center"/>
              <w:rPr>
                <w:b/>
                <w:noProof/>
                <w:color w:val="000000" w:themeColor="text1"/>
                <w:sz w:val="28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Pratique émergente</w:t>
            </w:r>
          </w:p>
        </w:tc>
      </w:tr>
      <w:tr w:rsidR="00416063" w:rsidTr="00416063">
        <w:tc>
          <w:tcPr>
            <w:tcW w:w="1174" w:type="dxa"/>
            <w:vAlign w:val="center"/>
          </w:tcPr>
          <w:p w:rsidR="00416063" w:rsidRPr="001951A1" w:rsidRDefault="00416063" w:rsidP="00416063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2</w:t>
            </w:r>
            <w:r w:rsidRPr="001951A1">
              <w:rPr>
                <w:b/>
                <w:noProof/>
                <w:vertAlign w:val="superscript"/>
                <w:lang w:eastAsia="fr-FR"/>
              </w:rPr>
              <w:t>nd</w:t>
            </w:r>
            <w:r w:rsidRPr="001951A1">
              <w:rPr>
                <w:b/>
                <w:noProof/>
                <w:lang w:eastAsia="fr-FR"/>
              </w:rPr>
              <w:t xml:space="preserve">  degré</w:t>
            </w:r>
          </w:p>
        </w:tc>
        <w:tc>
          <w:tcPr>
            <w:tcW w:w="1870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concerne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tout élève</w:t>
            </w:r>
          </w:p>
        </w:tc>
        <w:tc>
          <w:tcPr>
            <w:tcW w:w="1784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Des progrès sont constatés dans la mise au travail (perception intuitive)</w:t>
            </w:r>
          </w:p>
        </w:tc>
        <w:tc>
          <w:tcPr>
            <w:tcW w:w="234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élèves sont informés dans un temps spécifique (et non à la volée)</w:t>
            </w:r>
          </w:p>
        </w:tc>
        <w:tc>
          <w:tcPr>
            <w:tcW w:w="197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familles sont informées par une communication écrite</w:t>
            </w:r>
          </w:p>
        </w:tc>
        <w:tc>
          <w:tcPr>
            <w:tcW w:w="3121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L’action est visible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 par tous; L’équipe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communique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sur son activité</w:t>
            </w:r>
          </w:p>
        </w:tc>
        <w:tc>
          <w:tcPr>
            <w:tcW w:w="23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Quelques aménagements horaires</w:t>
            </w:r>
            <w:r w:rsidRPr="0002768F">
              <w:rPr>
                <w:noProof/>
                <w:color w:val="000000" w:themeColor="text1"/>
                <w:lang w:eastAsia="fr-FR"/>
              </w:rPr>
              <w:t>, ponctuels (ex ; co-intervention, classes en barrettes …)</w:t>
            </w:r>
          </w:p>
        </w:tc>
        <w:tc>
          <w:tcPr>
            <w:tcW w:w="28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Une équipe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s’est constituée sur une action durable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effets de l’action sont nommés lors des conseils pédagogiques (ou  autres)</w:t>
            </w:r>
          </w:p>
        </w:tc>
        <w:tc>
          <w:tcPr>
            <w:tcW w:w="2046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Dispositif innovant</w:t>
            </w:r>
          </w:p>
        </w:tc>
      </w:tr>
      <w:tr w:rsidR="00416063" w:rsidTr="00416063">
        <w:tc>
          <w:tcPr>
            <w:tcW w:w="1174" w:type="dxa"/>
            <w:vAlign w:val="center"/>
          </w:tcPr>
          <w:p w:rsidR="00416063" w:rsidRPr="001951A1" w:rsidRDefault="00416063" w:rsidP="00416063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3</w:t>
            </w:r>
            <w:r w:rsidRPr="001951A1">
              <w:rPr>
                <w:b/>
                <w:noProof/>
                <w:vertAlign w:val="superscript"/>
                <w:lang w:eastAsia="fr-FR"/>
              </w:rPr>
              <w:t>ème</w:t>
            </w:r>
            <w:r w:rsidRPr="001951A1">
              <w:rPr>
                <w:b/>
                <w:noProof/>
                <w:lang w:eastAsia="fr-FR"/>
              </w:rPr>
              <w:t xml:space="preserve">  degré</w:t>
            </w:r>
          </w:p>
        </w:tc>
        <w:tc>
          <w:tcPr>
            <w:tcW w:w="1870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L’action intègre de la différenciation pédagogique</w:t>
            </w:r>
          </w:p>
        </w:tc>
        <w:tc>
          <w:tcPr>
            <w:tcW w:w="1784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Des  progrès dans l’acquisition des compétences ont pu être mesurés pour la plupart des élèves</w:t>
            </w:r>
          </w:p>
        </w:tc>
        <w:tc>
          <w:tcPr>
            <w:tcW w:w="234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élèves sont consultés pour la mise en œuvre de l’action</w:t>
            </w:r>
          </w:p>
        </w:tc>
        <w:tc>
          <w:tcPr>
            <w:tcW w:w="197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familles sont informées lors des réunions de classe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– Echanges possibles.</w:t>
            </w:r>
          </w:p>
        </w:tc>
        <w:tc>
          <w:tcPr>
            <w:tcW w:w="3121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Un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dispositif d’analyse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est mis en place ; co-observation, groupe d’analyse ou accompagnement interne </w:t>
            </w:r>
          </w:p>
        </w:tc>
        <w:tc>
          <w:tcPr>
            <w:tcW w:w="23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L’emploi du temps a été modifié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pour permettre une action de plus grande amplitude ; les groupements d’élèves varient.</w:t>
            </w:r>
          </w:p>
        </w:tc>
        <w:tc>
          <w:tcPr>
            <w:tcW w:w="28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Un coordonnateur ou chef de projet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existe.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Une instance de régulation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est en place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Des indicateurs sont créés pour mesurer les effets de l’action</w:t>
            </w:r>
          </w:p>
        </w:tc>
        <w:tc>
          <w:tcPr>
            <w:tcW w:w="2046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Organisation apprenante</w:t>
            </w:r>
          </w:p>
        </w:tc>
      </w:tr>
      <w:tr w:rsidR="00416063" w:rsidTr="00416063">
        <w:tc>
          <w:tcPr>
            <w:tcW w:w="1174" w:type="dxa"/>
            <w:vAlign w:val="center"/>
          </w:tcPr>
          <w:p w:rsidR="00416063" w:rsidRPr="001951A1" w:rsidRDefault="00416063" w:rsidP="00416063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4</w:t>
            </w:r>
            <w:r w:rsidRPr="001951A1">
              <w:rPr>
                <w:b/>
                <w:noProof/>
                <w:vertAlign w:val="superscript"/>
                <w:lang w:eastAsia="fr-FR"/>
              </w:rPr>
              <w:t>ème</w:t>
            </w:r>
            <w:r w:rsidRPr="001951A1">
              <w:rPr>
                <w:b/>
                <w:noProof/>
                <w:lang w:eastAsia="fr-FR"/>
              </w:rPr>
              <w:t xml:space="preserve"> degré</w:t>
            </w:r>
          </w:p>
        </w:tc>
        <w:tc>
          <w:tcPr>
            <w:tcW w:w="1870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>Les compétences disciplinaires et transversales sont présentes</w:t>
            </w:r>
          </w:p>
        </w:tc>
        <w:tc>
          <w:tcPr>
            <w:tcW w:w="1784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Tous les élèves ont progressé autour des compétences disciplinaires et transversales</w:t>
            </w:r>
          </w:p>
        </w:tc>
        <w:tc>
          <w:tcPr>
            <w:tcW w:w="234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élèves sont associés à la conception de l’action</w:t>
            </w:r>
          </w:p>
        </w:tc>
        <w:tc>
          <w:tcPr>
            <w:tcW w:w="197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parents sont invités à donner leur avis sur le fonctionnement de l’action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(délégués de parents d’élèves)</w:t>
            </w:r>
          </w:p>
        </w:tc>
        <w:tc>
          <w:tcPr>
            <w:tcW w:w="3121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Des enseignants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deviennent ressources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pour co-former en interne ; un groupe de régulation est en place.</w:t>
            </w:r>
          </w:p>
        </w:tc>
        <w:tc>
          <w:tcPr>
            <w:tcW w:w="23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L’équipe est plus large. Du personnel OGEC de l’établissement est impliqué.</w:t>
            </w:r>
          </w:p>
        </w:tc>
        <w:tc>
          <w:tcPr>
            <w:tcW w:w="28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est coordonnée, en lien avec la direction. Elle s’inscrit dans le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projet d’établissement</w:t>
            </w:r>
            <w:r w:rsidRPr="0002768F">
              <w:rPr>
                <w:noProof/>
                <w:color w:val="000000" w:themeColor="text1"/>
                <w:lang w:eastAsia="fr-FR"/>
              </w:rPr>
              <w:t>.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Des bilans intermédiaires sont réalisés pour évaluer les effets de l’action</w:t>
            </w:r>
          </w:p>
        </w:tc>
        <w:tc>
          <w:tcPr>
            <w:tcW w:w="2046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Etablissement innovant</w:t>
            </w:r>
          </w:p>
          <w:p w:rsidR="00416063" w:rsidRPr="0002768F" w:rsidRDefault="0094333C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 xml:space="preserve">(laboratoire de </w:t>
            </w:r>
            <w:r w:rsidR="00416063" w:rsidRPr="0002768F">
              <w:rPr>
                <w:b/>
                <w:noProof/>
                <w:color w:val="000000" w:themeColor="text1"/>
                <w:lang w:eastAsia="fr-FR"/>
              </w:rPr>
              <w:t>l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’</w:t>
            </w:r>
            <w:r w:rsidR="00416063" w:rsidRPr="0002768F">
              <w:rPr>
                <w:b/>
                <w:noProof/>
                <w:color w:val="000000" w:themeColor="text1"/>
                <w:lang w:eastAsia="fr-FR"/>
              </w:rPr>
              <w:t>innovation)</w:t>
            </w:r>
          </w:p>
        </w:tc>
      </w:tr>
      <w:tr w:rsidR="00416063" w:rsidTr="00416063">
        <w:tc>
          <w:tcPr>
            <w:tcW w:w="1174" w:type="dxa"/>
            <w:vAlign w:val="center"/>
          </w:tcPr>
          <w:p w:rsidR="00416063" w:rsidRPr="001951A1" w:rsidRDefault="00416063" w:rsidP="00416063">
            <w:pPr>
              <w:jc w:val="center"/>
              <w:rPr>
                <w:b/>
                <w:noProof/>
                <w:lang w:eastAsia="fr-FR"/>
              </w:rPr>
            </w:pPr>
            <w:r w:rsidRPr="001951A1">
              <w:rPr>
                <w:b/>
                <w:noProof/>
                <w:lang w:eastAsia="fr-FR"/>
              </w:rPr>
              <w:t>5</w:t>
            </w:r>
            <w:r w:rsidRPr="001951A1">
              <w:rPr>
                <w:b/>
                <w:noProof/>
                <w:vertAlign w:val="superscript"/>
                <w:lang w:eastAsia="fr-FR"/>
              </w:rPr>
              <w:t>ème</w:t>
            </w:r>
            <w:r w:rsidRPr="001951A1">
              <w:rPr>
                <w:b/>
                <w:noProof/>
                <w:lang w:eastAsia="fr-FR"/>
              </w:rPr>
              <w:t xml:space="preserve"> degré</w:t>
            </w:r>
          </w:p>
        </w:tc>
        <w:tc>
          <w:tcPr>
            <w:tcW w:w="1870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L’action prend en compte l’élève dans sa globalité (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appartenance, bien-être, estime de soi …)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1784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Tous les élèves ont progressé. Des réussites visibles tant aux examens. Le climat scolaire s’est amélioré.</w:t>
            </w:r>
          </w:p>
        </w:tc>
        <w:tc>
          <w:tcPr>
            <w:tcW w:w="234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élèves ont constitué un groupe de travail qui participe pleinement à la mise en œuvre de l’action</w:t>
            </w:r>
          </w:p>
        </w:tc>
        <w:tc>
          <w:tcPr>
            <w:tcW w:w="197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familles sont consultées en amont de l’action, et partic</w:t>
            </w:r>
            <w:r w:rsidRPr="0002768F">
              <w:rPr>
                <w:noProof/>
                <w:color w:val="000000" w:themeColor="text1"/>
                <w:lang w:eastAsia="fr-FR"/>
              </w:rPr>
              <w:t>i</w:t>
            </w:r>
            <w:r w:rsidRPr="0002768F">
              <w:rPr>
                <w:noProof/>
                <w:color w:val="000000" w:themeColor="text1"/>
                <w:lang w:eastAsia="fr-FR"/>
              </w:rPr>
              <w:t>pent à la réflexion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(Ex : conseil d’établissement)</w:t>
            </w:r>
          </w:p>
        </w:tc>
        <w:tc>
          <w:tcPr>
            <w:tcW w:w="3121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l’équipe est ressource pour d’autres équipes </w:t>
            </w:r>
            <w:r w:rsidRPr="0002768F">
              <w:rPr>
                <w:noProof/>
                <w:color w:val="000000" w:themeColor="text1"/>
                <w:lang w:eastAsia="fr-FR"/>
              </w:rPr>
              <w:t>(</w:t>
            </w:r>
            <w:r w:rsidRPr="0002768F">
              <w:rPr>
                <w:noProof/>
                <w:color w:val="000000" w:themeColor="text1"/>
                <w:lang w:eastAsia="fr-FR"/>
              </w:rPr>
              <w:t>CLE)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23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L’équipe est plus large. Des partenariats extérieurs sont mis en place.</w:t>
            </w:r>
          </w:p>
        </w:tc>
        <w:tc>
          <w:tcPr>
            <w:tcW w:w="2889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L’action est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au cœur du projet d’établissement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; </w:t>
            </w:r>
          </w:p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</w:p>
          <w:p w:rsidR="00416063" w:rsidRPr="0002768F" w:rsidRDefault="00416063" w:rsidP="00416063">
            <w:pPr>
              <w:rPr>
                <w:b/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 xml:space="preserve">La 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CLE</w:t>
            </w:r>
            <w:r w:rsidRPr="0002768F">
              <w:rPr>
                <w:noProof/>
                <w:color w:val="000000" w:themeColor="text1"/>
                <w:lang w:eastAsia="fr-FR"/>
              </w:rPr>
              <w:t xml:space="preserve"> est associée/informée des projets.</w:t>
            </w:r>
          </w:p>
        </w:tc>
        <w:tc>
          <w:tcPr>
            <w:tcW w:w="2373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Les élèves (et/ou familles) sont associés à l’évaluation du dispositif</w:t>
            </w:r>
          </w:p>
        </w:tc>
        <w:tc>
          <w:tcPr>
            <w:tcW w:w="2046" w:type="dxa"/>
          </w:tcPr>
          <w:p w:rsidR="00416063" w:rsidRPr="0002768F" w:rsidRDefault="00416063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noProof/>
                <w:color w:val="000000" w:themeColor="text1"/>
                <w:lang w:eastAsia="fr-FR"/>
              </w:rPr>
              <w:t>Etablissement formateur ou structure expérimentale</w:t>
            </w:r>
          </w:p>
          <w:p w:rsidR="00416063" w:rsidRPr="0002768F" w:rsidRDefault="0094333C" w:rsidP="00416063">
            <w:pPr>
              <w:rPr>
                <w:noProof/>
                <w:color w:val="000000" w:themeColor="text1"/>
                <w:lang w:eastAsia="fr-FR"/>
              </w:rPr>
            </w:pPr>
            <w:r w:rsidRPr="0002768F">
              <w:rPr>
                <w:b/>
                <w:noProof/>
                <w:color w:val="000000" w:themeColor="text1"/>
                <w:lang w:eastAsia="fr-FR"/>
              </w:rPr>
              <w:t xml:space="preserve">(laboratoire de </w:t>
            </w:r>
            <w:r w:rsidR="00416063" w:rsidRPr="0002768F">
              <w:rPr>
                <w:b/>
                <w:noProof/>
                <w:color w:val="000000" w:themeColor="text1"/>
                <w:lang w:eastAsia="fr-FR"/>
              </w:rPr>
              <w:t>l</w:t>
            </w:r>
            <w:r w:rsidRPr="0002768F">
              <w:rPr>
                <w:b/>
                <w:noProof/>
                <w:color w:val="000000" w:themeColor="text1"/>
                <w:lang w:eastAsia="fr-FR"/>
              </w:rPr>
              <w:t>’</w:t>
            </w:r>
            <w:r w:rsidR="00416063" w:rsidRPr="0002768F">
              <w:rPr>
                <w:b/>
                <w:noProof/>
                <w:color w:val="000000" w:themeColor="text1"/>
                <w:lang w:eastAsia="fr-FR"/>
              </w:rPr>
              <w:t>innovation)</w:t>
            </w:r>
          </w:p>
        </w:tc>
      </w:tr>
    </w:tbl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A4283D" w:rsidRDefault="00A4283D">
      <w:pPr>
        <w:rPr>
          <w:noProof/>
          <w:lang w:eastAsia="fr-FR"/>
        </w:rPr>
      </w:pPr>
    </w:p>
    <w:p w:rsidR="006C476A" w:rsidRDefault="00EC16F2">
      <w:bookmarkStart w:id="0" w:name="_GoBack"/>
      <w:bookmarkEnd w:id="0"/>
      <w:r w:rsidRPr="009051C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1790585</wp:posOffset>
            </wp:positionV>
            <wp:extent cx="10628925" cy="580072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9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76A" w:rsidSect="00923BEF">
      <w:pgSz w:w="23814" w:h="16839" w:orient="landscape" w:code="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004B"/>
    <w:multiLevelType w:val="multilevel"/>
    <w:tmpl w:val="1E62F336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C0"/>
    <w:rsid w:val="00006F26"/>
    <w:rsid w:val="0002768F"/>
    <w:rsid w:val="00071A2D"/>
    <w:rsid w:val="001951A1"/>
    <w:rsid w:val="003F690E"/>
    <w:rsid w:val="004132AF"/>
    <w:rsid w:val="00416063"/>
    <w:rsid w:val="005418A5"/>
    <w:rsid w:val="005E111B"/>
    <w:rsid w:val="006C476A"/>
    <w:rsid w:val="009051C0"/>
    <w:rsid w:val="00923BEF"/>
    <w:rsid w:val="0094333C"/>
    <w:rsid w:val="00956A0F"/>
    <w:rsid w:val="00974BFA"/>
    <w:rsid w:val="009C0C4F"/>
    <w:rsid w:val="009E49F4"/>
    <w:rsid w:val="00A04814"/>
    <w:rsid w:val="00A4283D"/>
    <w:rsid w:val="00A56F5D"/>
    <w:rsid w:val="00A814DF"/>
    <w:rsid w:val="00AD79EB"/>
    <w:rsid w:val="00B3164D"/>
    <w:rsid w:val="00B51105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457"/>
  <w15:chartTrackingRefBased/>
  <w15:docId w15:val="{D922A443-FCDF-42DB-93B9-20ADD59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rsid w:val="004132AF"/>
    <w:pPr>
      <w:keepNext/>
      <w:widowControl w:val="0"/>
      <w:numPr>
        <w:numId w:val="2"/>
      </w:numPr>
      <w:tabs>
        <w:tab w:val="left" w:pos="1985"/>
      </w:tabs>
      <w:suppressAutoHyphens/>
      <w:autoSpaceDN w:val="0"/>
      <w:spacing w:before="240" w:after="120" w:line="240" w:lineRule="auto"/>
      <w:textAlignment w:val="baseline"/>
      <w:outlineLvl w:val="0"/>
    </w:pPr>
    <w:rPr>
      <w:rFonts w:ascii="Arial" w:eastAsia="SimSun, 宋体" w:hAnsi="Arial" w:cs="Lucida Sans"/>
      <w:b/>
      <w:bCs/>
      <w:kern w:val="3"/>
      <w:sz w:val="32"/>
      <w:szCs w:val="32"/>
      <w:lang w:eastAsia="zh-CN" w:bidi="hi-IN"/>
    </w:rPr>
  </w:style>
  <w:style w:type="paragraph" w:styleId="Titre2">
    <w:name w:val="heading 2"/>
    <w:basedOn w:val="Normal"/>
    <w:next w:val="Normal"/>
    <w:link w:val="Titre2Car"/>
    <w:rsid w:val="004132AF"/>
    <w:pPr>
      <w:keepNext/>
      <w:widowControl w:val="0"/>
      <w:numPr>
        <w:ilvl w:val="1"/>
        <w:numId w:val="2"/>
      </w:numPr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32AF"/>
    <w:rPr>
      <w:rFonts w:ascii="Arial" w:eastAsia="SimSun, 宋体" w:hAnsi="Arial" w:cs="Lucida Sans"/>
      <w:b/>
      <w:bCs/>
      <w:kern w:val="3"/>
      <w:sz w:val="32"/>
      <w:szCs w:val="32"/>
      <w:lang w:eastAsia="zh-CN" w:bidi="hi-IN"/>
    </w:rPr>
  </w:style>
  <w:style w:type="character" w:customStyle="1" w:styleId="Titre2Car">
    <w:name w:val="Titre 2 Car"/>
    <w:basedOn w:val="Policepardfaut"/>
    <w:link w:val="Titre2"/>
    <w:rsid w:val="004132AF"/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A2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BENALOUANE</dc:creator>
  <cp:keywords/>
  <dc:description/>
  <cp:lastModifiedBy>Christine Fermaut</cp:lastModifiedBy>
  <cp:revision>15</cp:revision>
  <cp:lastPrinted>2017-01-03T11:21:00Z</cp:lastPrinted>
  <dcterms:created xsi:type="dcterms:W3CDTF">2017-01-04T13:46:00Z</dcterms:created>
  <dcterms:modified xsi:type="dcterms:W3CDTF">2017-01-04T14:24:00Z</dcterms:modified>
</cp:coreProperties>
</file>