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6B" w:rsidRPr="00094A6B" w:rsidRDefault="00094A6B" w:rsidP="00094A6B">
      <w:pPr>
        <w:spacing w:after="200" w:line="276" w:lineRule="auto"/>
        <w:jc w:val="both"/>
      </w:pPr>
      <w:r w:rsidRPr="00094A6B">
        <w:rPr>
          <w:noProof/>
          <w:lang w:eastAsia="fr-FR"/>
        </w:rPr>
        <w:drawing>
          <wp:anchor distT="0" distB="0" distL="114300" distR="114300" simplePos="0" relativeHeight="251659264" behindDoc="1" locked="0" layoutInCell="1" allowOverlap="1" wp14:anchorId="4955D770" wp14:editId="7D36CA56">
            <wp:simplePos x="0" y="0"/>
            <wp:positionH relativeFrom="column">
              <wp:posOffset>-202565</wp:posOffset>
            </wp:positionH>
            <wp:positionV relativeFrom="paragraph">
              <wp:posOffset>24765</wp:posOffset>
            </wp:positionV>
            <wp:extent cx="988695" cy="665480"/>
            <wp:effectExtent l="0" t="0" r="1905" b="1270"/>
            <wp:wrapNone/>
            <wp:docPr id="2" name="Image 2" descr="http://www.ec44.fr/images/logo/logo_ec44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ec44.fr/images/logo/logo_ec44_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665480"/>
                    </a:xfrm>
                    <a:prstGeom prst="rect">
                      <a:avLst/>
                    </a:prstGeom>
                    <a:noFill/>
                  </pic:spPr>
                </pic:pic>
              </a:graphicData>
            </a:graphic>
            <wp14:sizeRelH relativeFrom="page">
              <wp14:pctWidth>0</wp14:pctWidth>
            </wp14:sizeRelH>
            <wp14:sizeRelV relativeFrom="page">
              <wp14:pctHeight>0</wp14:pctHeight>
            </wp14:sizeRelV>
          </wp:anchor>
        </w:drawing>
      </w:r>
    </w:p>
    <w:p w:rsidR="00094A6B" w:rsidRPr="00094A6B" w:rsidRDefault="00094A6B" w:rsidP="00094A6B">
      <w:pPr>
        <w:spacing w:after="200" w:line="276" w:lineRule="auto"/>
        <w:jc w:val="center"/>
        <w:rPr>
          <w:b/>
          <w:sz w:val="28"/>
        </w:rPr>
      </w:pPr>
      <w:r w:rsidRPr="00094A6B">
        <w:rPr>
          <w:b/>
          <w:sz w:val="28"/>
        </w:rPr>
        <w:t>PROGRAMMES  2015</w:t>
      </w:r>
    </w:p>
    <w:p w:rsidR="00094A6B" w:rsidRPr="00094A6B" w:rsidRDefault="00094A6B" w:rsidP="00094A6B">
      <w:pPr>
        <w:spacing w:after="200" w:line="276" w:lineRule="auto"/>
        <w:jc w:val="center"/>
        <w:rPr>
          <w:b/>
          <w:sz w:val="28"/>
        </w:rPr>
      </w:pPr>
      <w:proofErr w:type="gramStart"/>
      <w:r w:rsidRPr="00094A6B">
        <w:rPr>
          <w:b/>
          <w:sz w:val="28"/>
        </w:rPr>
        <w:t>MATHEMATIQUES  -</w:t>
      </w:r>
      <w:proofErr w:type="gramEnd"/>
      <w:r w:rsidRPr="00094A6B">
        <w:rPr>
          <w:b/>
          <w:sz w:val="28"/>
        </w:rPr>
        <w:t xml:space="preserve">   CYCLE 3</w:t>
      </w:r>
    </w:p>
    <w:p w:rsidR="00094A6B" w:rsidRPr="00094A6B" w:rsidRDefault="00094A6B" w:rsidP="00094A6B">
      <w:pPr>
        <w:spacing w:after="200" w:line="276" w:lineRule="auto"/>
        <w:jc w:val="center"/>
        <w:rPr>
          <w:b/>
          <w:sz w:val="28"/>
        </w:rPr>
      </w:pPr>
      <w:r w:rsidRPr="00094A6B">
        <w:rPr>
          <w:b/>
          <w:sz w:val="28"/>
        </w:rPr>
        <w:t>REPERES DE PROGRESSIVITE : GEOMETRIE</w:t>
      </w:r>
      <w:r w:rsidRPr="00094A6B">
        <w:rPr>
          <w:b/>
          <w:sz w:val="28"/>
          <w:vertAlign w:val="superscript"/>
        </w:rPr>
        <w:footnoteReference w:id="1"/>
      </w:r>
    </w:p>
    <w:p w:rsidR="007A476C" w:rsidRDefault="007A476C" w:rsidP="00094A6B"/>
    <w:p w:rsidR="00094A6B" w:rsidRPr="006B49E1" w:rsidRDefault="00094A6B" w:rsidP="007A476C">
      <w:pPr>
        <w:jc w:val="both"/>
      </w:pPr>
      <w:r w:rsidRPr="006B49E1">
        <w:t>Les apprentissages géométriques au cycle 3 développent :</w:t>
      </w:r>
    </w:p>
    <w:p w:rsidR="00094A6B" w:rsidRPr="006B49E1" w:rsidRDefault="00094A6B" w:rsidP="007A476C">
      <w:pPr>
        <w:pStyle w:val="Paragraphedeliste"/>
        <w:numPr>
          <w:ilvl w:val="0"/>
          <w:numId w:val="1"/>
        </w:numPr>
        <w:jc w:val="both"/>
      </w:pPr>
      <w:r w:rsidRPr="006B49E1">
        <w:t>La connaissance des figures planes</w:t>
      </w:r>
    </w:p>
    <w:p w:rsidR="00094A6B" w:rsidRPr="006B49E1" w:rsidRDefault="00094A6B" w:rsidP="007A476C">
      <w:pPr>
        <w:pStyle w:val="Paragraphedeliste"/>
        <w:numPr>
          <w:ilvl w:val="0"/>
          <w:numId w:val="1"/>
        </w:numPr>
        <w:jc w:val="both"/>
      </w:pPr>
      <w:r w:rsidRPr="006B49E1">
        <w:t>La connaissance des solides</w:t>
      </w:r>
    </w:p>
    <w:p w:rsidR="00094A6B" w:rsidRPr="006B49E1" w:rsidRDefault="00094A6B" w:rsidP="007A476C">
      <w:pPr>
        <w:pStyle w:val="Paragraphedeliste"/>
        <w:numPr>
          <w:ilvl w:val="0"/>
          <w:numId w:val="1"/>
        </w:numPr>
        <w:jc w:val="both"/>
      </w:pPr>
      <w:r w:rsidRPr="006B49E1">
        <w:t>Les relations et les propriétés</w:t>
      </w:r>
    </w:p>
    <w:p w:rsidR="00094A6B" w:rsidRPr="006B49E1" w:rsidRDefault="00094A6B" w:rsidP="007A476C">
      <w:pPr>
        <w:jc w:val="both"/>
      </w:pPr>
      <w:r w:rsidRPr="006B49E1">
        <w:t>Plus que les tâches et les objets sur lesquels elles portent, ce sont davantage la manière de les réaliser et les arguments exigés pour valider les réponses apportées qui marquent l’évolution attendue entre le cycle 2 et le cycle 3.</w:t>
      </w:r>
    </w:p>
    <w:p w:rsidR="00094A6B" w:rsidRPr="006B49E1" w:rsidRDefault="00094A6B" w:rsidP="007A476C">
      <w:pPr>
        <w:pStyle w:val="Default"/>
        <w:jc w:val="both"/>
        <w:rPr>
          <w:sz w:val="22"/>
          <w:szCs w:val="22"/>
        </w:rPr>
      </w:pPr>
      <w:r w:rsidRPr="007A476C">
        <w:rPr>
          <w:b/>
        </w:rPr>
        <w:t>La progressivité s’organisera en prenant en compte</w:t>
      </w:r>
      <w:r w:rsidRPr="006B49E1">
        <w:rPr>
          <w:sz w:val="22"/>
          <w:szCs w:val="22"/>
        </w:rPr>
        <w:t xml:space="preserve"> : </w:t>
      </w:r>
    </w:p>
    <w:p w:rsidR="00094A6B" w:rsidRDefault="00094A6B" w:rsidP="007A476C">
      <w:pPr>
        <w:pStyle w:val="Paragraphedeliste"/>
        <w:numPr>
          <w:ilvl w:val="0"/>
          <w:numId w:val="2"/>
        </w:numPr>
        <w:jc w:val="both"/>
      </w:pPr>
      <w:r w:rsidRPr="007A476C">
        <w:rPr>
          <w:u w:val="single"/>
        </w:rPr>
        <w:t>Les gestes de géométrie</w:t>
      </w:r>
      <w:r w:rsidRPr="006B49E1">
        <w:t xml:space="preserve"> : on passera progressivement de l’acquisition ou de la maîtrise des gestes géométriques élémentaires à leur mobilisation dans des tâches géométriques</w:t>
      </w:r>
      <w:r>
        <w:t xml:space="preserve"> complexes.</w:t>
      </w:r>
    </w:p>
    <w:p w:rsidR="00094A6B" w:rsidRDefault="00094A6B" w:rsidP="007A476C">
      <w:pPr>
        <w:pStyle w:val="Paragraphedeliste"/>
        <w:numPr>
          <w:ilvl w:val="0"/>
          <w:numId w:val="2"/>
        </w:numPr>
        <w:jc w:val="both"/>
      </w:pPr>
      <w:r w:rsidRPr="007A476C">
        <w:rPr>
          <w:u w:val="single"/>
        </w:rPr>
        <w:t>L’évolution des procédures et la qualité des connaissances mobilisées</w:t>
      </w:r>
      <w:r w:rsidRPr="006B49E1">
        <w:t xml:space="preserve"> : pour </w:t>
      </w:r>
      <w:r>
        <w:t>les</w:t>
      </w:r>
      <w:r w:rsidRPr="006B49E1">
        <w:t xml:space="preserve"> tâches données (nommer, reconnaître, comparer, vérifier, décrire, reproduire, construire, représenter), on fera évoluer progressivement, en lien avec les outils et les supports convoqués, les procédures permettant de les réaliser et les éléments lexicaux exigés caractérisant les objets géométriques. Ainsi, l’élève devra savoir tout d’abord reconnaître un carré en prenant en compte la perpendicularité et l’égalité des mesures des côtés puis le reconnaître en tenant compte des propriétés de ses diagonales. </w:t>
      </w:r>
      <w:r>
        <w:t>De même, il devra savoir construire un carré, à la règle et l’équerre, à partir du tracé d’un de ses côtés, puis savoir construire un carré à la règle, au compas et l’équerre, à partir du tracé d’une de ses</w:t>
      </w:r>
      <w:r>
        <w:t xml:space="preserve"> diagonales.</w:t>
      </w:r>
    </w:p>
    <w:p w:rsidR="00094A6B" w:rsidRDefault="00094A6B" w:rsidP="007A476C">
      <w:pPr>
        <w:pStyle w:val="Default"/>
        <w:numPr>
          <w:ilvl w:val="0"/>
          <w:numId w:val="2"/>
        </w:numPr>
        <w:jc w:val="both"/>
        <w:rPr>
          <w:rFonts w:cstheme="minorBidi"/>
          <w:color w:val="auto"/>
          <w:sz w:val="22"/>
          <w:szCs w:val="22"/>
        </w:rPr>
      </w:pPr>
      <w:r w:rsidRPr="00094A6B">
        <w:rPr>
          <w:rFonts w:cstheme="minorBidi"/>
          <w:color w:val="auto"/>
          <w:sz w:val="22"/>
          <w:szCs w:val="22"/>
          <w:u w:val="single"/>
        </w:rPr>
        <w:t>Les objets géométriques fréquentés</w:t>
      </w:r>
      <w:r>
        <w:rPr>
          <w:rFonts w:cstheme="minorBidi"/>
          <w:color w:val="auto"/>
          <w:sz w:val="22"/>
          <w:szCs w:val="22"/>
        </w:rPr>
        <w:t xml:space="preserve"> : selon les niveaux du cycle, une déclinaison par objet de l’enrichissement progressif des conceptions, des propriétés à connaître, pour identifier et pour construire ces objets est proposée dans </w:t>
      </w:r>
      <w:r w:rsidR="007A476C">
        <w:rPr>
          <w:rFonts w:cstheme="minorBidi"/>
          <w:color w:val="auto"/>
          <w:sz w:val="22"/>
          <w:szCs w:val="22"/>
        </w:rPr>
        <w:t>les</w:t>
      </w:r>
      <w:r>
        <w:rPr>
          <w:rFonts w:cstheme="minorBidi"/>
          <w:color w:val="auto"/>
          <w:sz w:val="22"/>
          <w:szCs w:val="22"/>
        </w:rPr>
        <w:t xml:space="preserve"> tableau</w:t>
      </w:r>
      <w:r w:rsidR="007A476C">
        <w:rPr>
          <w:rFonts w:cstheme="minorBidi"/>
          <w:color w:val="auto"/>
          <w:sz w:val="22"/>
          <w:szCs w:val="22"/>
        </w:rPr>
        <w:t>x</w:t>
      </w:r>
      <w:r>
        <w:rPr>
          <w:rFonts w:cstheme="minorBidi"/>
          <w:color w:val="auto"/>
          <w:sz w:val="22"/>
          <w:szCs w:val="22"/>
        </w:rPr>
        <w:t xml:space="preserve"> </w:t>
      </w:r>
      <w:r w:rsidR="007A476C">
        <w:rPr>
          <w:rFonts w:cstheme="minorBidi"/>
          <w:color w:val="auto"/>
          <w:sz w:val="22"/>
          <w:szCs w:val="22"/>
        </w:rPr>
        <w:t>ci-après</w:t>
      </w:r>
      <w:r>
        <w:rPr>
          <w:rFonts w:cstheme="minorBidi"/>
          <w:color w:val="auto"/>
          <w:sz w:val="22"/>
          <w:szCs w:val="22"/>
        </w:rPr>
        <w:t xml:space="preserve">. </w:t>
      </w:r>
    </w:p>
    <w:p w:rsidR="00094A6B" w:rsidRDefault="00094A6B" w:rsidP="007A476C">
      <w:pPr>
        <w:pStyle w:val="Default"/>
        <w:jc w:val="both"/>
        <w:rPr>
          <w:rFonts w:cstheme="minorBidi"/>
          <w:color w:val="auto"/>
          <w:sz w:val="22"/>
          <w:szCs w:val="22"/>
        </w:rPr>
      </w:pPr>
    </w:p>
    <w:p w:rsidR="00094A6B" w:rsidRDefault="00094A6B" w:rsidP="007A476C">
      <w:pPr>
        <w:pStyle w:val="Paragraphedeliste"/>
        <w:numPr>
          <w:ilvl w:val="0"/>
          <w:numId w:val="2"/>
        </w:numPr>
        <w:jc w:val="both"/>
      </w:pPr>
      <w:r w:rsidRPr="007A476C">
        <w:rPr>
          <w:u w:val="single"/>
        </w:rPr>
        <w:t>La maîtrise nouvelle de techniques de tracé (par rapport au cycle 2)</w:t>
      </w:r>
      <w:r>
        <w:t xml:space="preserve"> : par exemple l’élève au CM2 pourra tracer un cube en perspective cavalière à l’aide d’un papier pointé alors qu’il sera amené à le tracer sur papier uni en</w:t>
      </w:r>
      <w:r>
        <w:t xml:space="preserve"> 6</w:t>
      </w:r>
      <w:proofErr w:type="gramStart"/>
      <w:r w:rsidRPr="007A476C">
        <w:rPr>
          <w:vertAlign w:val="superscript"/>
        </w:rPr>
        <w:t>ème</w:t>
      </w:r>
      <w:r>
        <w:t xml:space="preserve"> .</w:t>
      </w:r>
      <w:proofErr w:type="gramEnd"/>
    </w:p>
    <w:p w:rsidR="00094A6B" w:rsidRDefault="00094A6B" w:rsidP="00094A6B">
      <w:pPr>
        <w:spacing w:after="200" w:line="276" w:lineRule="auto"/>
      </w:pPr>
    </w:p>
    <w:p w:rsidR="00094A6B" w:rsidRDefault="00094A6B" w:rsidP="00094A6B">
      <w:pPr>
        <w:spacing w:after="200" w:line="276" w:lineRule="auto"/>
        <w:sectPr w:rsidR="00094A6B">
          <w:pgSz w:w="11906" w:h="16838"/>
          <w:pgMar w:top="1417" w:right="1417" w:bottom="1417" w:left="1417" w:header="708" w:footer="708" w:gutter="0"/>
          <w:cols w:space="708"/>
          <w:docGrid w:linePitch="360"/>
        </w:sectPr>
      </w:pPr>
    </w:p>
    <w:tbl>
      <w:tblPr>
        <w:tblpPr w:leftFromText="141" w:rightFromText="141" w:vertAnchor="page" w:horzAnchor="margin" w:tblpY="2449"/>
        <w:tblW w:w="14992" w:type="dxa"/>
        <w:tblBorders>
          <w:top w:val="nil"/>
          <w:left w:val="nil"/>
          <w:bottom w:val="nil"/>
          <w:right w:val="nil"/>
        </w:tblBorders>
        <w:tblLayout w:type="fixed"/>
        <w:tblLook w:val="0000" w:firstRow="0" w:lastRow="0" w:firstColumn="0" w:lastColumn="0" w:noHBand="0" w:noVBand="0"/>
      </w:tblPr>
      <w:tblGrid>
        <w:gridCol w:w="1701"/>
        <w:gridCol w:w="3296"/>
        <w:gridCol w:w="815"/>
        <w:gridCol w:w="4182"/>
        <w:gridCol w:w="354"/>
        <w:gridCol w:w="4644"/>
      </w:tblGrid>
      <w:tr w:rsidR="00094A6B" w:rsidRPr="00094A6B" w:rsidTr="007706BB">
        <w:trPr>
          <w:trHeight w:val="646"/>
        </w:trPr>
        <w:tc>
          <w:tcPr>
            <w:tcW w:w="4997" w:type="dxa"/>
            <w:gridSpan w:val="2"/>
            <w:tcBorders>
              <w:bottom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noProof/>
                <w:color w:val="000000"/>
                <w:sz w:val="28"/>
                <w:szCs w:val="28"/>
                <w:lang w:eastAsia="fr-FR"/>
              </w:rPr>
            </w:pPr>
            <w:r w:rsidRPr="00094A6B">
              <w:rPr>
                <w:rFonts w:ascii="Calibri" w:hAnsi="Calibri" w:cs="Calibri"/>
                <w:b/>
                <w:color w:val="000000"/>
                <w:sz w:val="28"/>
                <w:szCs w:val="28"/>
              </w:rPr>
              <w:lastRenderedPageBreak/>
              <w:t xml:space="preserve">                                                       CM1</w:t>
            </w:r>
          </w:p>
        </w:tc>
        <w:tc>
          <w:tcPr>
            <w:tcW w:w="4997" w:type="dxa"/>
            <w:gridSpan w:val="2"/>
            <w:tcBorders>
              <w:bottom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sz w:val="28"/>
                <w:szCs w:val="28"/>
              </w:rPr>
            </w:pPr>
            <w:r w:rsidRPr="00094A6B">
              <w:rPr>
                <w:rFonts w:ascii="Calibri" w:hAnsi="Calibri" w:cs="Calibri"/>
                <w:b/>
                <w:color w:val="000000"/>
                <w:sz w:val="28"/>
                <w:szCs w:val="28"/>
              </w:rPr>
              <w:t xml:space="preserve">                                             CM2</w:t>
            </w:r>
          </w:p>
        </w:tc>
        <w:tc>
          <w:tcPr>
            <w:tcW w:w="4998" w:type="dxa"/>
            <w:gridSpan w:val="2"/>
            <w:tcBorders>
              <w:bottom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sz w:val="28"/>
                <w:szCs w:val="28"/>
              </w:rPr>
            </w:pPr>
            <w:r w:rsidRPr="00094A6B">
              <w:rPr>
                <w:rFonts w:ascii="Calibri" w:hAnsi="Calibri" w:cs="Calibri"/>
                <w:b/>
                <w:color w:val="000000"/>
                <w:sz w:val="28"/>
                <w:szCs w:val="28"/>
              </w:rPr>
              <w:t xml:space="preserve">                                Sixième</w:t>
            </w:r>
          </w:p>
        </w:tc>
      </w:tr>
      <w:tr w:rsidR="00094A6B" w:rsidRPr="00094A6B" w:rsidTr="007706BB">
        <w:trPr>
          <w:trHeight w:val="513"/>
        </w:trPr>
        <w:tc>
          <w:tcPr>
            <w:tcW w:w="1701"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Polygones</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b/>
                <w:color w:val="000000"/>
              </w:rPr>
              <w:t xml:space="preserve"> (convexes ou non)</w:t>
            </w:r>
            <w:r w:rsidRPr="00094A6B">
              <w:rPr>
                <w:rFonts w:ascii="Calibri" w:hAnsi="Calibri" w:cs="Calibri"/>
                <w:color w:val="000000"/>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polygone en tant que ligne brisée fermée.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Utiliser les mots polygone, côté et sommet pour décrire.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Utiliser le mot « diagonale » pour décrire.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Tracer des diagonales dans un polygone.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axe de symétrie dans un polygone.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44"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Compléter un polygone par symétrie.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378"/>
        </w:trPr>
        <w:tc>
          <w:tcPr>
            <w:tcW w:w="1701"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Triangles </w:t>
            </w:r>
          </w:p>
        </w:tc>
        <w:tc>
          <w:tcPr>
            <w:tcW w:w="4111"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comme polygone à 3 côtés, 3 sommets.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en connaissant la longueur des 3 côtés (règle et compas).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qu’un triangle a 3 angles.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44"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Tracer une hauteur d’un triangle (lien avec le calcul d’aire).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916"/>
        </w:trPr>
        <w:tc>
          <w:tcPr>
            <w:tcW w:w="1701"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Triangle isocèle </w:t>
            </w:r>
          </w:p>
        </w:tc>
        <w:tc>
          <w:tcPr>
            <w:tcW w:w="4111"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isocèle comme un triangle ayant 2 côtés de même longueur.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isocèle comme un triangle ayant un axe de symétrie ou 2 angles superposables.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isocèles à partir de longueurs données (règle et compas).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44"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isocèle comme un triangle ayant 2 angles de même mesure.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isocèle à partir d’une figure à main levée codée.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isocèles (longueurs et angles).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647"/>
        </w:trPr>
        <w:tc>
          <w:tcPr>
            <w:tcW w:w="1701"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Triangle équilatéral </w:t>
            </w:r>
          </w:p>
        </w:tc>
        <w:tc>
          <w:tcPr>
            <w:tcW w:w="4111"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équilatéral comme un triangle ayant 3 côtés de même longueur.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équilatéral comme un triangle ayant 3 axes de symétrie ou 3 angles superposables.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équilatéraux.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44" w:type="dxa"/>
            <w:tcBorders>
              <w:top w:val="single" w:sz="4" w:space="0" w:color="auto"/>
              <w:left w:val="single" w:sz="4" w:space="0" w:color="auto"/>
              <w:bottom w:val="single" w:sz="4" w:space="0" w:color="auto"/>
              <w:right w:val="single" w:sz="4" w:space="0" w:color="auto"/>
            </w:tcBorders>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équilatéral comme un triangle ayant 3 angles de même mesure.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équilatéral à partir d’une figure à main levée codée.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bl>
    <w:p w:rsidR="00094A6B" w:rsidRPr="00094A6B" w:rsidRDefault="00094A6B" w:rsidP="00094A6B">
      <w:pPr>
        <w:spacing w:after="200" w:line="276" w:lineRule="auto"/>
        <w:jc w:val="center"/>
        <w:rPr>
          <w:b/>
          <w:sz w:val="28"/>
        </w:rPr>
      </w:pPr>
      <w:r w:rsidRPr="00094A6B">
        <w:rPr>
          <w:b/>
          <w:noProof/>
          <w:sz w:val="28"/>
          <w:szCs w:val="28"/>
          <w:lang w:eastAsia="fr-FR"/>
        </w:rPr>
        <mc:AlternateContent>
          <mc:Choice Requires="wps">
            <w:drawing>
              <wp:anchor distT="0" distB="0" distL="114300" distR="114300" simplePos="0" relativeHeight="251661312" behindDoc="0" locked="0" layoutInCell="1" allowOverlap="1" wp14:anchorId="70391758" wp14:editId="594174EB">
                <wp:simplePos x="0" y="0"/>
                <wp:positionH relativeFrom="column">
                  <wp:posOffset>1874904</wp:posOffset>
                </wp:positionH>
                <wp:positionV relativeFrom="paragraph">
                  <wp:posOffset>-85159</wp:posOffset>
                </wp:positionV>
                <wp:extent cx="5737860" cy="6629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5737860" cy="6629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4A6B" w:rsidRDefault="00094A6B" w:rsidP="00094A6B">
                            <w:pPr>
                              <w:jc w:val="center"/>
                            </w:pPr>
                            <w:r>
                              <w:t xml:space="preserve">Selon les niveaux du cycle, voici une déclinaison par objet de l’enrichissement progressif des conceptions, des propriétés à connaître pour </w:t>
                            </w:r>
                            <w:r w:rsidRPr="00517A24">
                              <w:rPr>
                                <w:b/>
                              </w:rPr>
                              <w:t>identifier</w:t>
                            </w:r>
                            <w:r>
                              <w:t xml:space="preserve"> et pour </w:t>
                            </w:r>
                            <w:r w:rsidRPr="00517A24">
                              <w:rPr>
                                <w:b/>
                              </w:rPr>
                              <w:t xml:space="preserve">construire </w:t>
                            </w:r>
                            <w:r>
                              <w:t>ces objets.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1758" id="Rectangle 3" o:spid="_x0000_s1026" style="position:absolute;left:0;text-align:left;margin-left:147.65pt;margin-top:-6.7pt;width:451.8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" fillcolor="window" strokecolor="windowText" strokeweight="1pt">
                <v:textbox>
                  <w:txbxContent>
                    <w:p w:rsidR="00094A6B" w:rsidRDefault="00094A6B" w:rsidP="00094A6B">
                      <w:pPr>
                        <w:jc w:val="center"/>
                      </w:pPr>
                      <w:r>
                        <w:t xml:space="preserve">Selon les niveaux du cycle, voici une déclinaison par objet de l’enrichissement progressif des conceptions, des propriétés à connaître pour </w:t>
                      </w:r>
                      <w:r w:rsidRPr="00517A24">
                        <w:rPr>
                          <w:b/>
                        </w:rPr>
                        <w:t>identifier</w:t>
                      </w:r>
                      <w:r>
                        <w:t xml:space="preserve"> et pour </w:t>
                      </w:r>
                      <w:r w:rsidRPr="00517A24">
                        <w:rPr>
                          <w:b/>
                        </w:rPr>
                        <w:t xml:space="preserve">construire </w:t>
                      </w:r>
                      <w:r>
                        <w:t>ces objets.</w:t>
                      </w:r>
                    </w:p>
                  </w:txbxContent>
                </v:textbox>
              </v:rect>
            </w:pict>
          </mc:Fallback>
        </mc:AlternateContent>
      </w:r>
    </w:p>
    <w:p w:rsidR="00094A6B" w:rsidRPr="00094A6B" w:rsidRDefault="00094A6B" w:rsidP="00094A6B">
      <w:pPr>
        <w:spacing w:after="200" w:line="276" w:lineRule="auto"/>
      </w:pPr>
    </w:p>
    <w:p w:rsidR="004D677E" w:rsidRDefault="004D677E"/>
    <w:tbl>
      <w:tblPr>
        <w:tblW w:w="150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6"/>
        <w:gridCol w:w="4105"/>
        <w:gridCol w:w="6"/>
        <w:gridCol w:w="4530"/>
        <w:gridCol w:w="6"/>
        <w:gridCol w:w="4516"/>
        <w:gridCol w:w="90"/>
      </w:tblGrid>
      <w:tr w:rsidR="00094A6B" w:rsidRPr="00094A6B" w:rsidTr="007706BB">
        <w:trPr>
          <w:trHeight w:val="782"/>
        </w:trPr>
        <w:tc>
          <w:tcPr>
            <w:tcW w:w="1803"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lastRenderedPageBreak/>
              <w:t xml:space="preserve">Triangle rectangle </w:t>
            </w:r>
          </w:p>
        </w:tc>
        <w:tc>
          <w:tcPr>
            <w:tcW w:w="4111" w:type="dxa"/>
            <w:gridSpan w:val="2"/>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rectangle comme un triangle ayant un angle droit (demi-rectangle).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rectangles (règle, équerre).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rectangles (règle, équerre, compas).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12" w:type="dxa"/>
            <w:gridSpan w:val="3"/>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triangle rectangle isocèle comme un triangle ayant 2 côtés de même longueur et 2 angles de même mesure.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triangles rectangles (longueurs et angles).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512"/>
        </w:trPr>
        <w:tc>
          <w:tcPr>
            <w:tcW w:w="1803"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Quadrilatères (convexes ou non) </w:t>
            </w:r>
          </w:p>
        </w:tc>
        <w:tc>
          <w:tcPr>
            <w:tcW w:w="4111"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quadrilatère comme un polygone à 4 côtés, 4 sommets.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les 2 diagonales d’un quadrilatère et les tracer.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axe de symétrie dans quadrilatère.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12" w:type="dxa"/>
            <w:gridSpan w:val="3"/>
          </w:tcPr>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917"/>
        </w:trPr>
        <w:tc>
          <w:tcPr>
            <w:tcW w:w="1803"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Carré </w:t>
            </w:r>
          </w:p>
        </w:tc>
        <w:tc>
          <w:tcPr>
            <w:tcW w:w="4111"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carré comme un quadrilatère ayant 4 côtés de même longueur et 4 angles droits.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carrés (règle, équerre)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les 4 axes de symétrie d’un carré.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carré comme un assemblage de deux triangles rectangles isocèles, comme une intersection de deux bandes de même largeur, perpendiculaires.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carrés (règle, équerre, compas).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12" w:type="dxa"/>
            <w:gridSpan w:val="3"/>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carré comme un quadrilatère ayant des diagonales perpendiculaires, de même longueur et sécantes en leur milieu (inscrit dans un cercle).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carrés à partir de de leurs diagonales.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1453"/>
        </w:trPr>
        <w:tc>
          <w:tcPr>
            <w:tcW w:w="1803"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Losange </w:t>
            </w:r>
          </w:p>
        </w:tc>
        <w:tc>
          <w:tcPr>
            <w:tcW w:w="4111"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losange comme un quadrilatère ayant 4 côtés de même longueur.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losanges (papier pointé ou quadrillé).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les 2 axes de symétrie d’un losange (diagonales).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losange comme un assemblage de deux triangles isocèles, comme une intersection de deux bandes de même largeur.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losanges (règle, compas).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12" w:type="dxa"/>
            <w:gridSpan w:val="3"/>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losange comme un quadrilatère ayant des diagonales perpendiculaires et sécantes en leur milieu.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losange comme un quadrilatère ayant des angles opposés de même mesure.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losanges (règle, compas, rapporteur)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losanges à partir de de leurs diagonales.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1050"/>
        </w:trPr>
        <w:tc>
          <w:tcPr>
            <w:tcW w:w="1803"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Rectangle </w:t>
            </w:r>
          </w:p>
        </w:tc>
        <w:tc>
          <w:tcPr>
            <w:tcW w:w="4111" w:type="dxa"/>
            <w:gridSpan w:val="2"/>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rectangle comme un quadrilatère ayant 4 angles droits.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rectangle comme un quadrilatère ayant ses côtés opposés de même longueur et un angle droit.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rectangles (règle, équerre).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36" w:type="dxa"/>
            <w:gridSpan w:val="2"/>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les 2 axes de symétrie d’un rectangle.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rectangle comme un assemblage de deux triangles rectangles, comme une intersection de deux bandes perpendiculaires.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rectangles (règle, équerre, compas).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12" w:type="dxa"/>
            <w:gridSpan w:val="3"/>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rectangle comme un quadrilatère ayant des diagonales de même longueur et sécantes en leur milieu (inscrit dans un cercle).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des rectangles à partir de de leurs diagonales.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A3B00" w:rsidTr="007706BB">
        <w:tblPrEx>
          <w:tblBorders>
            <w:top w:val="nil"/>
            <w:left w:val="nil"/>
            <w:bottom w:val="nil"/>
            <w:right w:val="nil"/>
            <w:insideH w:val="none" w:sz="0" w:space="0" w:color="auto"/>
            <w:insideV w:val="none" w:sz="0" w:space="0" w:color="auto"/>
          </w:tblBorders>
        </w:tblPrEx>
        <w:trPr>
          <w:gridAfter w:val="1"/>
          <w:wAfter w:w="90" w:type="dxa"/>
          <w:trHeight w:val="782"/>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jc w:val="center"/>
              <w:rPr>
                <w:rFonts w:cstheme="minorBidi"/>
                <w:b/>
                <w:color w:val="auto"/>
                <w:sz w:val="28"/>
                <w:szCs w:val="28"/>
              </w:rPr>
            </w:pPr>
            <w:r w:rsidRPr="000A3B00">
              <w:rPr>
                <w:rFonts w:cstheme="minorBidi"/>
                <w:b/>
                <w:color w:val="auto"/>
                <w:sz w:val="28"/>
                <w:szCs w:val="28"/>
              </w:rPr>
              <w:t>CM1</w:t>
            </w:r>
          </w:p>
        </w:tc>
        <w:tc>
          <w:tcPr>
            <w:tcW w:w="4536"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jc w:val="center"/>
              <w:rPr>
                <w:rFonts w:cstheme="minorBidi"/>
                <w:b/>
                <w:color w:val="auto"/>
                <w:sz w:val="28"/>
                <w:szCs w:val="28"/>
              </w:rPr>
            </w:pPr>
            <w:r w:rsidRPr="000A3B00">
              <w:rPr>
                <w:rFonts w:cstheme="minorBidi"/>
                <w:b/>
                <w:color w:val="auto"/>
                <w:sz w:val="28"/>
                <w:szCs w:val="28"/>
              </w:rPr>
              <w:t>CM2</w:t>
            </w:r>
          </w:p>
        </w:tc>
        <w:tc>
          <w:tcPr>
            <w:tcW w:w="4516" w:type="dxa"/>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jc w:val="center"/>
              <w:rPr>
                <w:rFonts w:cstheme="minorBidi"/>
                <w:b/>
                <w:color w:val="auto"/>
                <w:sz w:val="28"/>
                <w:szCs w:val="28"/>
              </w:rPr>
            </w:pPr>
            <w:r w:rsidRPr="000A3B00">
              <w:rPr>
                <w:rFonts w:cstheme="minorBidi"/>
                <w:b/>
                <w:color w:val="auto"/>
                <w:sz w:val="28"/>
                <w:szCs w:val="28"/>
              </w:rPr>
              <w:t>SIXIEME</w:t>
            </w:r>
          </w:p>
        </w:tc>
      </w:tr>
      <w:tr w:rsidR="00094A6B" w:rsidTr="007706BB">
        <w:tblPrEx>
          <w:tblBorders>
            <w:top w:val="nil"/>
            <w:left w:val="nil"/>
            <w:bottom w:val="nil"/>
            <w:right w:val="nil"/>
            <w:insideH w:val="none" w:sz="0" w:space="0" w:color="auto"/>
            <w:insideV w:val="none" w:sz="0" w:space="0" w:color="auto"/>
          </w:tblBorders>
        </w:tblPrEx>
        <w:trPr>
          <w:gridAfter w:val="1"/>
          <w:wAfter w:w="90" w:type="dxa"/>
          <w:trHeight w:val="782"/>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r w:rsidRPr="000A3B00">
              <w:rPr>
                <w:b/>
                <w:sz w:val="22"/>
                <w:szCs w:val="22"/>
              </w:rPr>
              <w:t xml:space="preserve">Cercle/Disque </w:t>
            </w:r>
          </w:p>
        </w:tc>
        <w:tc>
          <w:tcPr>
            <w:tcW w:w="4111"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Identifier un cercle, un disque. </w:t>
            </w:r>
          </w:p>
          <w:p w:rsidR="00094A6B" w:rsidRDefault="00094A6B" w:rsidP="007706BB">
            <w:pPr>
              <w:pStyle w:val="Default"/>
              <w:rPr>
                <w:sz w:val="22"/>
                <w:szCs w:val="22"/>
              </w:rPr>
            </w:pPr>
            <w:r>
              <w:rPr>
                <w:sz w:val="22"/>
                <w:szCs w:val="22"/>
              </w:rPr>
              <w:t xml:space="preserve">- Utiliser les mots centre, rayon, diamètre pour décrire. </w:t>
            </w:r>
          </w:p>
          <w:p w:rsidR="00094A6B" w:rsidRDefault="00094A6B" w:rsidP="007706BB">
            <w:pPr>
              <w:pStyle w:val="Default"/>
              <w:rPr>
                <w:sz w:val="22"/>
                <w:szCs w:val="22"/>
              </w:rPr>
            </w:pPr>
            <w:r>
              <w:rPr>
                <w:sz w:val="22"/>
                <w:szCs w:val="22"/>
              </w:rPr>
              <w:t xml:space="preserve">- Construire des cercles. </w:t>
            </w:r>
          </w:p>
          <w:p w:rsidR="00094A6B" w:rsidRDefault="00094A6B" w:rsidP="007706BB">
            <w:pPr>
              <w:pStyle w:val="Default"/>
              <w:rPr>
                <w:sz w:val="22"/>
                <w:szCs w:val="22"/>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Reporter des longueurs au compas. </w:t>
            </w:r>
          </w:p>
          <w:p w:rsidR="00094A6B" w:rsidRDefault="00094A6B" w:rsidP="007706BB">
            <w:pPr>
              <w:pStyle w:val="Default"/>
              <w:rPr>
                <w:sz w:val="22"/>
                <w:szCs w:val="22"/>
              </w:rPr>
            </w:pPr>
          </w:p>
        </w:tc>
        <w:tc>
          <w:tcPr>
            <w:tcW w:w="4516" w:type="dxa"/>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Savoir que, pour un cercle : </w:t>
            </w:r>
          </w:p>
          <w:p w:rsidR="00094A6B" w:rsidRDefault="00094A6B" w:rsidP="007706BB">
            <w:pPr>
              <w:pStyle w:val="Default"/>
              <w:rPr>
                <w:sz w:val="22"/>
                <w:szCs w:val="22"/>
              </w:rPr>
            </w:pPr>
            <w:r>
              <w:rPr>
                <w:sz w:val="22"/>
                <w:szCs w:val="22"/>
              </w:rPr>
              <w:t xml:space="preserve">• tout point qui appartient au cercle est à une même distance du centre ; </w:t>
            </w:r>
          </w:p>
          <w:p w:rsidR="00094A6B" w:rsidRDefault="00094A6B" w:rsidP="007706BB">
            <w:pPr>
              <w:pStyle w:val="Default"/>
              <w:rPr>
                <w:sz w:val="22"/>
                <w:szCs w:val="22"/>
              </w:rPr>
            </w:pPr>
            <w:r>
              <w:rPr>
                <w:sz w:val="22"/>
                <w:szCs w:val="22"/>
              </w:rPr>
              <w:t xml:space="preserve">• tout point situé à cette distance du centre </w:t>
            </w:r>
          </w:p>
          <w:p w:rsidR="00094A6B" w:rsidRDefault="00094A6B" w:rsidP="007706BB">
            <w:pPr>
              <w:pStyle w:val="Default"/>
              <w:rPr>
                <w:sz w:val="22"/>
                <w:szCs w:val="22"/>
              </w:rPr>
            </w:pPr>
            <w:proofErr w:type="gramStart"/>
            <w:r>
              <w:rPr>
                <w:sz w:val="22"/>
                <w:szCs w:val="22"/>
              </w:rPr>
              <w:t>appartient</w:t>
            </w:r>
            <w:proofErr w:type="gramEnd"/>
            <w:r>
              <w:rPr>
                <w:sz w:val="22"/>
                <w:szCs w:val="22"/>
              </w:rPr>
              <w:t xml:space="preserve"> au cercle. </w:t>
            </w:r>
          </w:p>
          <w:p w:rsidR="00094A6B" w:rsidRDefault="00094A6B" w:rsidP="007706BB">
            <w:pPr>
              <w:pStyle w:val="Default"/>
              <w:rPr>
                <w:sz w:val="22"/>
                <w:szCs w:val="22"/>
              </w:rPr>
            </w:pPr>
          </w:p>
        </w:tc>
      </w:tr>
      <w:tr w:rsidR="00094A6B" w:rsidTr="007706BB">
        <w:tblPrEx>
          <w:tblBorders>
            <w:top w:val="nil"/>
            <w:left w:val="nil"/>
            <w:bottom w:val="nil"/>
            <w:right w:val="nil"/>
            <w:insideH w:val="none" w:sz="0" w:space="0" w:color="auto"/>
            <w:insideV w:val="none" w:sz="0" w:space="0" w:color="auto"/>
          </w:tblBorders>
        </w:tblPrEx>
        <w:trPr>
          <w:gridAfter w:val="1"/>
          <w:wAfter w:w="90" w:type="dxa"/>
          <w:trHeight w:val="781"/>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r w:rsidRPr="000A3B00">
              <w:rPr>
                <w:b/>
                <w:sz w:val="22"/>
                <w:szCs w:val="22"/>
              </w:rPr>
              <w:t xml:space="preserve">Médiatrice d’un segment </w:t>
            </w:r>
          </w:p>
        </w:tc>
        <w:tc>
          <w:tcPr>
            <w:tcW w:w="4111"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sz w:val="22"/>
                <w:szCs w:val="22"/>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p>
        </w:tc>
        <w:tc>
          <w:tcPr>
            <w:tcW w:w="4516" w:type="dxa"/>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sz w:val="22"/>
                <w:szCs w:val="22"/>
              </w:rPr>
            </w:pPr>
            <w:r>
              <w:rPr>
                <w:sz w:val="22"/>
                <w:szCs w:val="22"/>
              </w:rPr>
              <w:t xml:space="preserve">- Identifier la médiatrice d’un segment comme axe de symétrie, comme ensemble de points caractérisés par la propriété d'équidistance. </w:t>
            </w:r>
          </w:p>
          <w:p w:rsidR="00094A6B" w:rsidRDefault="00094A6B" w:rsidP="007706BB">
            <w:pPr>
              <w:pStyle w:val="Default"/>
              <w:rPr>
                <w:sz w:val="22"/>
                <w:szCs w:val="22"/>
              </w:rPr>
            </w:pPr>
            <w:r>
              <w:rPr>
                <w:sz w:val="22"/>
                <w:szCs w:val="22"/>
              </w:rPr>
              <w:t xml:space="preserve">- Construire la médiatrice d’un segment en utilisant différentes méthodes. </w:t>
            </w:r>
          </w:p>
          <w:p w:rsidR="00094A6B" w:rsidRDefault="00094A6B" w:rsidP="007706BB">
            <w:pPr>
              <w:pStyle w:val="Default"/>
              <w:rPr>
                <w:sz w:val="22"/>
                <w:szCs w:val="22"/>
              </w:rPr>
            </w:pPr>
          </w:p>
        </w:tc>
      </w:tr>
      <w:tr w:rsidR="00094A6B" w:rsidTr="007706BB">
        <w:tblPrEx>
          <w:tblBorders>
            <w:top w:val="nil"/>
            <w:left w:val="nil"/>
            <w:bottom w:val="nil"/>
            <w:right w:val="nil"/>
            <w:insideH w:val="none" w:sz="0" w:space="0" w:color="auto"/>
            <w:insideV w:val="none" w:sz="0" w:space="0" w:color="auto"/>
          </w:tblBorders>
        </w:tblPrEx>
        <w:trPr>
          <w:gridAfter w:val="1"/>
          <w:wAfter w:w="90" w:type="dxa"/>
          <w:trHeight w:val="647"/>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r w:rsidRPr="000A3B00">
              <w:rPr>
                <w:b/>
                <w:sz w:val="22"/>
                <w:szCs w:val="22"/>
              </w:rPr>
              <w:t xml:space="preserve">Droites perpendiculaires </w:t>
            </w:r>
          </w:p>
        </w:tc>
        <w:tc>
          <w:tcPr>
            <w:tcW w:w="8647" w:type="dxa"/>
            <w:gridSpan w:val="4"/>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Identifier des droites perpendiculaires. </w:t>
            </w:r>
          </w:p>
          <w:p w:rsidR="00094A6B" w:rsidRDefault="00094A6B" w:rsidP="007706BB">
            <w:pPr>
              <w:pStyle w:val="Default"/>
              <w:rPr>
                <w:sz w:val="22"/>
                <w:szCs w:val="22"/>
              </w:rPr>
            </w:pPr>
            <w:r>
              <w:rPr>
                <w:sz w:val="22"/>
                <w:szCs w:val="22"/>
              </w:rPr>
              <w:t xml:space="preserve">- Utiliser les instruments pour vérifier que deux droites sont perpendiculaires (règle et équerre) et pour tracer des droites perpendiculaires. </w:t>
            </w:r>
          </w:p>
          <w:p w:rsidR="00094A6B" w:rsidRDefault="00094A6B" w:rsidP="007706BB">
            <w:pPr>
              <w:pStyle w:val="Default"/>
              <w:rPr>
                <w:sz w:val="22"/>
                <w:szCs w:val="22"/>
              </w:rPr>
            </w:pPr>
          </w:p>
        </w:tc>
        <w:tc>
          <w:tcPr>
            <w:tcW w:w="4516" w:type="dxa"/>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Construire, par un point donné, la perpendiculaire à une droite donnée. </w:t>
            </w:r>
          </w:p>
          <w:p w:rsidR="00094A6B" w:rsidRDefault="00094A6B" w:rsidP="007706BB">
            <w:pPr>
              <w:pStyle w:val="Default"/>
              <w:rPr>
                <w:sz w:val="22"/>
                <w:szCs w:val="22"/>
              </w:rPr>
            </w:pPr>
          </w:p>
        </w:tc>
      </w:tr>
      <w:tr w:rsidR="00094A6B" w:rsidTr="007706BB">
        <w:tblPrEx>
          <w:tblBorders>
            <w:top w:val="nil"/>
            <w:left w:val="nil"/>
            <w:bottom w:val="nil"/>
            <w:right w:val="nil"/>
            <w:insideH w:val="none" w:sz="0" w:space="0" w:color="auto"/>
            <w:insideV w:val="none" w:sz="0" w:space="0" w:color="auto"/>
          </w:tblBorders>
        </w:tblPrEx>
        <w:trPr>
          <w:gridAfter w:val="1"/>
          <w:wAfter w:w="90" w:type="dxa"/>
          <w:trHeight w:val="513"/>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r w:rsidRPr="000A3B00">
              <w:rPr>
                <w:b/>
                <w:sz w:val="22"/>
                <w:szCs w:val="22"/>
              </w:rPr>
              <w:t xml:space="preserve">Droites parallèles </w:t>
            </w:r>
          </w:p>
        </w:tc>
        <w:tc>
          <w:tcPr>
            <w:tcW w:w="4111"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Identifier des droites parallèles. </w:t>
            </w:r>
          </w:p>
          <w:p w:rsidR="00094A6B" w:rsidRDefault="00094A6B" w:rsidP="007706BB">
            <w:pPr>
              <w:pStyle w:val="Default"/>
              <w:rPr>
                <w:sz w:val="22"/>
                <w:szCs w:val="22"/>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Utiliser les instruments pour vérifier le parallélisme de deux droites (règle et équerre) et pour tracer des droites parallèles. </w:t>
            </w:r>
          </w:p>
          <w:p w:rsidR="00094A6B" w:rsidRDefault="00094A6B" w:rsidP="007706BB">
            <w:pPr>
              <w:pStyle w:val="Default"/>
              <w:rPr>
                <w:sz w:val="22"/>
                <w:szCs w:val="22"/>
              </w:rPr>
            </w:pPr>
          </w:p>
        </w:tc>
        <w:tc>
          <w:tcPr>
            <w:tcW w:w="4516" w:type="dxa"/>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Construire, par un point donné, la parallèle à une droite donnée. </w:t>
            </w:r>
          </w:p>
          <w:p w:rsidR="00094A6B" w:rsidRDefault="00094A6B" w:rsidP="007706BB">
            <w:pPr>
              <w:pStyle w:val="Default"/>
              <w:rPr>
                <w:sz w:val="22"/>
                <w:szCs w:val="22"/>
              </w:rPr>
            </w:pPr>
          </w:p>
        </w:tc>
      </w:tr>
      <w:tr w:rsidR="00094A6B" w:rsidTr="007706BB">
        <w:tblPrEx>
          <w:tblBorders>
            <w:top w:val="nil"/>
            <w:left w:val="nil"/>
            <w:bottom w:val="nil"/>
            <w:right w:val="nil"/>
            <w:insideH w:val="none" w:sz="0" w:space="0" w:color="auto"/>
            <w:insideV w:val="none" w:sz="0" w:space="0" w:color="auto"/>
          </w:tblBorders>
        </w:tblPrEx>
        <w:trPr>
          <w:gridAfter w:val="1"/>
          <w:wAfter w:w="90" w:type="dxa"/>
          <w:trHeight w:val="781"/>
        </w:trPr>
        <w:tc>
          <w:tcPr>
            <w:tcW w:w="1809" w:type="dxa"/>
            <w:gridSpan w:val="2"/>
            <w:tcBorders>
              <w:top w:val="single" w:sz="4" w:space="0" w:color="auto"/>
              <w:left w:val="single" w:sz="4" w:space="0" w:color="auto"/>
              <w:bottom w:val="single" w:sz="4" w:space="0" w:color="auto"/>
              <w:right w:val="single" w:sz="4" w:space="0" w:color="auto"/>
            </w:tcBorders>
          </w:tcPr>
          <w:p w:rsidR="00094A6B" w:rsidRPr="000A3B00" w:rsidRDefault="00094A6B" w:rsidP="007706BB">
            <w:pPr>
              <w:pStyle w:val="Default"/>
              <w:rPr>
                <w:b/>
                <w:sz w:val="22"/>
                <w:szCs w:val="22"/>
              </w:rPr>
            </w:pPr>
            <w:r w:rsidRPr="000A3B00">
              <w:rPr>
                <w:b/>
                <w:sz w:val="22"/>
                <w:szCs w:val="22"/>
              </w:rPr>
              <w:t xml:space="preserve">Figures symétriques </w:t>
            </w:r>
          </w:p>
        </w:tc>
        <w:tc>
          <w:tcPr>
            <w:tcW w:w="4111"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Identifier qu’une figure possède un ou plusieurs axes de symétrie, par pliage ou à l’aide du papier calque. </w:t>
            </w:r>
          </w:p>
          <w:p w:rsidR="00094A6B" w:rsidRDefault="00094A6B" w:rsidP="007706BB">
            <w:pPr>
              <w:pStyle w:val="Default"/>
              <w:rPr>
                <w:sz w:val="22"/>
                <w:szCs w:val="22"/>
              </w:rPr>
            </w:pPr>
          </w:p>
        </w:tc>
        <w:tc>
          <w:tcPr>
            <w:tcW w:w="4536" w:type="dxa"/>
            <w:gridSpan w:val="2"/>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Tracer ou compléter, sur papier quadrillé, la figure symétrique d’une figure donnée par rapport à une droite donnée. </w:t>
            </w:r>
          </w:p>
          <w:p w:rsidR="00094A6B" w:rsidRDefault="00094A6B" w:rsidP="007706BB">
            <w:pPr>
              <w:pStyle w:val="Default"/>
              <w:rPr>
                <w:sz w:val="22"/>
                <w:szCs w:val="22"/>
              </w:rPr>
            </w:pPr>
            <w:r>
              <w:rPr>
                <w:sz w:val="22"/>
                <w:szCs w:val="22"/>
              </w:rPr>
              <w:t xml:space="preserve">- Compléter une figure par symétrie axiale. </w:t>
            </w:r>
          </w:p>
          <w:p w:rsidR="00094A6B" w:rsidRDefault="00094A6B" w:rsidP="007706BB">
            <w:pPr>
              <w:pStyle w:val="Default"/>
              <w:rPr>
                <w:sz w:val="22"/>
                <w:szCs w:val="22"/>
              </w:rPr>
            </w:pPr>
          </w:p>
        </w:tc>
        <w:tc>
          <w:tcPr>
            <w:tcW w:w="4516" w:type="dxa"/>
            <w:tcBorders>
              <w:top w:val="single" w:sz="4" w:space="0" w:color="auto"/>
              <w:left w:val="single" w:sz="4" w:space="0" w:color="auto"/>
              <w:bottom w:val="single" w:sz="4" w:space="0" w:color="auto"/>
              <w:right w:val="single" w:sz="4" w:space="0" w:color="auto"/>
            </w:tcBorders>
          </w:tcPr>
          <w:p w:rsidR="00094A6B" w:rsidRDefault="00094A6B" w:rsidP="007706BB">
            <w:pPr>
              <w:pStyle w:val="Default"/>
              <w:rPr>
                <w:rFonts w:cstheme="minorBidi"/>
                <w:color w:val="auto"/>
              </w:rPr>
            </w:pPr>
          </w:p>
          <w:p w:rsidR="00094A6B" w:rsidRDefault="00094A6B" w:rsidP="007706BB">
            <w:pPr>
              <w:pStyle w:val="Default"/>
              <w:rPr>
                <w:sz w:val="22"/>
                <w:szCs w:val="22"/>
              </w:rPr>
            </w:pPr>
            <w:r>
              <w:rPr>
                <w:sz w:val="22"/>
                <w:szCs w:val="22"/>
              </w:rPr>
              <w:t xml:space="preserve">- Construire ou compléter la figure symétrique d'une figure donnée ou de figures possédant un axe de symétrie à l'aide des instruments usuels. </w:t>
            </w:r>
          </w:p>
          <w:p w:rsidR="00094A6B" w:rsidRDefault="00094A6B" w:rsidP="007706BB">
            <w:pPr>
              <w:pStyle w:val="Default"/>
              <w:rPr>
                <w:sz w:val="22"/>
                <w:szCs w:val="22"/>
              </w:rPr>
            </w:pPr>
            <w:r>
              <w:rPr>
                <w:sz w:val="22"/>
                <w:szCs w:val="22"/>
              </w:rPr>
              <w:t xml:space="preserve">- Construire le symétrique d’un point, d’une droite, d’un segment. </w:t>
            </w:r>
          </w:p>
          <w:p w:rsidR="00094A6B" w:rsidRDefault="00094A6B" w:rsidP="007706BB">
            <w:pPr>
              <w:pStyle w:val="Default"/>
              <w:rPr>
                <w:sz w:val="22"/>
                <w:szCs w:val="22"/>
              </w:rPr>
            </w:pPr>
          </w:p>
        </w:tc>
      </w:tr>
    </w:tbl>
    <w:p w:rsidR="00094A6B" w:rsidRDefault="00094A6B"/>
    <w:p w:rsidR="00094A6B" w:rsidRDefault="00094A6B"/>
    <w:tbl>
      <w:tblPr>
        <w:tblW w:w="15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3969"/>
        <w:gridCol w:w="4678"/>
        <w:gridCol w:w="4559"/>
      </w:tblGrid>
      <w:tr w:rsidR="00094A6B" w:rsidRPr="00094A6B" w:rsidTr="007706BB">
        <w:trPr>
          <w:trHeight w:val="648"/>
        </w:trPr>
        <w:tc>
          <w:tcPr>
            <w:tcW w:w="1804"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lastRenderedPageBreak/>
              <w:t xml:space="preserve">Solides à fréquenter tout au long du cycle. </w:t>
            </w:r>
          </w:p>
          <w:p w:rsidR="00094A6B" w:rsidRPr="00094A6B" w:rsidRDefault="00094A6B" w:rsidP="00094A6B">
            <w:pPr>
              <w:autoSpaceDE w:val="0"/>
              <w:autoSpaceDN w:val="0"/>
              <w:adjustRightInd w:val="0"/>
              <w:spacing w:after="0" w:line="240" w:lineRule="auto"/>
              <w:rPr>
                <w:rFonts w:ascii="Calibri" w:hAnsi="Calibri" w:cs="Calibri"/>
                <w:i/>
                <w:color w:val="000000"/>
                <w:sz w:val="18"/>
                <w:szCs w:val="18"/>
              </w:rPr>
            </w:pPr>
            <w:r w:rsidRPr="00094A6B">
              <w:rPr>
                <w:rFonts w:ascii="Calibri" w:hAnsi="Calibri" w:cs="Calibri"/>
                <w:i/>
                <w:color w:val="000000"/>
                <w:sz w:val="18"/>
                <w:szCs w:val="18"/>
              </w:rPr>
              <w:t xml:space="preserve">Des focus seront faits sur les solides présentés ci-dessous </w:t>
            </w:r>
          </w:p>
        </w:tc>
        <w:tc>
          <w:tcPr>
            <w:tcW w:w="13206" w:type="dxa"/>
            <w:gridSpan w:val="3"/>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des solides par classement, comparaison, en utilisant des objets physiques, différentes photos.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Utiliser les mots polyèdre, cube, parallélépipède rectangle, prisme droit, cylindre, pyramide régulière, cône, boule pour nommer ces objets.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Utiliser les mots face, arête, sommet pour décrire des polyèdres.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la forme des faces de ces solides.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2449"/>
        </w:trPr>
        <w:tc>
          <w:tcPr>
            <w:tcW w:w="1804"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Cube </w:t>
            </w:r>
          </w:p>
        </w:tc>
        <w:tc>
          <w:tcPr>
            <w:tcW w:w="3969"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cube comme un polyèdre ayant 6 faces carrées, 8 sommets, 12 arêtes de même longueur.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78"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un patron de cube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Compléter un patron de cube </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59" w:type="dxa"/>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un cube à partir d’un dessin le représentant en perspective cavalière.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dans une représentation en perspective cavalière du cube les arêtes de même longueur, les angles droits, les arêtes, les faces parallèles ou perpendiculaires.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Dessiner une représentation en perspective cavalière d’un cube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Construire un patron d’un cube </w:t>
            </w:r>
          </w:p>
        </w:tc>
      </w:tr>
    </w:tbl>
    <w:p w:rsidR="00094A6B" w:rsidRPr="00094A6B" w:rsidRDefault="00094A6B" w:rsidP="00094A6B">
      <w:pPr>
        <w:spacing w:after="0" w:line="276" w:lineRule="auto"/>
        <w:rPr>
          <w:b/>
          <w:sz w:val="2"/>
          <w:szCs w:val="2"/>
        </w:rPr>
      </w:pPr>
    </w:p>
    <w:tbl>
      <w:tblPr>
        <w:tblW w:w="14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3969"/>
        <w:gridCol w:w="4678"/>
        <w:gridCol w:w="4528"/>
      </w:tblGrid>
      <w:tr w:rsidR="00094A6B" w:rsidRPr="00094A6B" w:rsidTr="007706BB">
        <w:trPr>
          <w:trHeight w:val="1318"/>
        </w:trPr>
        <w:tc>
          <w:tcPr>
            <w:tcW w:w="1804"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Parallélépipède rectangle </w:t>
            </w:r>
          </w:p>
          <w:p w:rsidR="00094A6B" w:rsidRPr="00094A6B" w:rsidRDefault="00094A6B" w:rsidP="00094A6B">
            <w:pPr>
              <w:autoSpaceDE w:val="0"/>
              <w:autoSpaceDN w:val="0"/>
              <w:adjustRightInd w:val="0"/>
              <w:spacing w:after="0" w:line="240" w:lineRule="auto"/>
              <w:rPr>
                <w:rFonts w:ascii="Calibri" w:hAnsi="Calibri" w:cs="Calibri"/>
                <w:b/>
                <w:color w:val="000000"/>
              </w:rPr>
            </w:pPr>
          </w:p>
        </w:tc>
        <w:tc>
          <w:tcPr>
            <w:tcW w:w="3969"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Identifier un parallélépipède rectangle comme un polyèdre ayant 6 faces rectangulaires, des faces « opposées » superposables. </w:t>
            </w:r>
          </w:p>
        </w:tc>
        <w:tc>
          <w:tcPr>
            <w:tcW w:w="4678" w:type="dxa"/>
          </w:tcPr>
          <w:p w:rsidR="00094A6B" w:rsidRPr="00094A6B" w:rsidRDefault="00094A6B" w:rsidP="00094A6B">
            <w:pPr>
              <w:autoSpaceDE w:val="0"/>
              <w:autoSpaceDN w:val="0"/>
              <w:adjustRightInd w:val="0"/>
              <w:spacing w:after="0" w:line="240" w:lineRule="auto"/>
              <w:rPr>
                <w:rFonts w:ascii="Calibri" w:hAnsi="Calibri" w:cs="Calibri"/>
                <w:color w:val="000000"/>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un patron de parallélépipède rectangle.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Compléter un patron de parallélépipède rectangle</w:t>
            </w: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528" w:type="dxa"/>
          </w:tcPr>
          <w:p w:rsidR="00094A6B" w:rsidRPr="00094A6B" w:rsidRDefault="00094A6B" w:rsidP="00094A6B">
            <w:pPr>
              <w:autoSpaceDE w:val="0"/>
              <w:autoSpaceDN w:val="0"/>
              <w:adjustRightInd w:val="0"/>
              <w:spacing w:after="0" w:line="240" w:lineRule="auto"/>
              <w:rPr>
                <w:rFonts w:ascii="Calibri" w:hAnsi="Calibri"/>
                <w:sz w:val="6"/>
                <w:szCs w:val="6"/>
              </w:rPr>
            </w:pPr>
          </w:p>
          <w:p w:rsidR="00094A6B" w:rsidRPr="00094A6B" w:rsidRDefault="00094A6B" w:rsidP="00094A6B">
            <w:pPr>
              <w:autoSpaceDE w:val="0"/>
              <w:autoSpaceDN w:val="0"/>
              <w:adjustRightInd w:val="0"/>
              <w:spacing w:after="0" w:line="240" w:lineRule="auto"/>
              <w:rPr>
                <w:rFonts w:ascii="Calibri" w:hAnsi="Calibri" w:cs="Calibri"/>
                <w:color w:val="000000"/>
                <w:sz w:val="20"/>
                <w:szCs w:val="20"/>
              </w:rPr>
            </w:pPr>
            <w:r w:rsidRPr="00094A6B">
              <w:rPr>
                <w:rFonts w:ascii="Calibri" w:hAnsi="Calibri" w:cs="Calibri"/>
                <w:color w:val="000000"/>
                <w:sz w:val="20"/>
                <w:szCs w:val="20"/>
              </w:rPr>
              <w:t xml:space="preserve">- Reconnaître un parallélépipède rectangle à partir d’un dessin le représentant en perspective cavalière. </w:t>
            </w:r>
          </w:p>
          <w:p w:rsidR="00094A6B" w:rsidRPr="00094A6B" w:rsidRDefault="00094A6B" w:rsidP="00094A6B">
            <w:pPr>
              <w:autoSpaceDE w:val="0"/>
              <w:autoSpaceDN w:val="0"/>
              <w:adjustRightInd w:val="0"/>
              <w:spacing w:after="0" w:line="240" w:lineRule="auto"/>
              <w:rPr>
                <w:rFonts w:ascii="Calibri" w:hAnsi="Calibri" w:cs="Calibri"/>
                <w:color w:val="000000"/>
                <w:sz w:val="20"/>
                <w:szCs w:val="20"/>
              </w:rPr>
            </w:pPr>
            <w:r w:rsidRPr="00094A6B">
              <w:rPr>
                <w:rFonts w:ascii="Calibri" w:hAnsi="Calibri" w:cs="Calibri"/>
                <w:color w:val="000000"/>
                <w:sz w:val="20"/>
                <w:szCs w:val="20"/>
              </w:rPr>
              <w:t xml:space="preserve">- Reconnaître dans une représentation en perspective cavalière du parallélépipède rectangle les arêtes de même longueur, les angles droits, les arêtes, les faces parallèles ou perpendiculaires. </w:t>
            </w:r>
          </w:p>
          <w:p w:rsidR="00094A6B" w:rsidRPr="00094A6B" w:rsidRDefault="00094A6B" w:rsidP="00094A6B">
            <w:pPr>
              <w:autoSpaceDE w:val="0"/>
              <w:autoSpaceDN w:val="0"/>
              <w:adjustRightInd w:val="0"/>
              <w:spacing w:after="0" w:line="240" w:lineRule="auto"/>
              <w:rPr>
                <w:rFonts w:ascii="Calibri" w:hAnsi="Calibri" w:cs="Calibri"/>
                <w:color w:val="000000"/>
                <w:sz w:val="20"/>
                <w:szCs w:val="20"/>
              </w:rPr>
            </w:pPr>
            <w:r w:rsidRPr="00094A6B">
              <w:rPr>
                <w:rFonts w:ascii="Calibri" w:hAnsi="Calibri" w:cs="Calibri"/>
                <w:color w:val="000000"/>
                <w:sz w:val="20"/>
                <w:szCs w:val="20"/>
              </w:rPr>
              <w:t xml:space="preserve">- Dessiner une représentation en perspective cavalière d’un parallélépipède rectangle.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sz w:val="20"/>
                <w:szCs w:val="20"/>
              </w:rPr>
              <w:t>- Construire un patron d’un parallélépipède rectangle.</w:t>
            </w:r>
            <w:r w:rsidRPr="00094A6B">
              <w:rPr>
                <w:rFonts w:ascii="Calibri" w:hAnsi="Calibri" w:cs="Calibri"/>
                <w:color w:val="000000"/>
              </w:rPr>
              <w:t xml:space="preserve"> </w:t>
            </w:r>
          </w:p>
        </w:tc>
      </w:tr>
      <w:tr w:rsidR="00094A6B" w:rsidRPr="00094A6B" w:rsidTr="007706BB">
        <w:trPr>
          <w:trHeight w:val="782"/>
        </w:trPr>
        <w:tc>
          <w:tcPr>
            <w:tcW w:w="1804"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Prisme droit </w:t>
            </w:r>
          </w:p>
        </w:tc>
        <w:tc>
          <w:tcPr>
            <w:tcW w:w="3969"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78" w:type="dxa"/>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Identifier un prisme droit comme un polyèdre ayant 2 faces « opposées » superposables, et des faces rectangulaires.</w:t>
            </w:r>
          </w:p>
        </w:tc>
        <w:tc>
          <w:tcPr>
            <w:tcW w:w="4528"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dans une représentation en perspective cavalière d’un prisme droit les arêtes de même longueur, les angles droits, les arêtes, les faces parallèles ou perpendiculaires.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Compléter un patron de prisme droit.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r w:rsidR="00094A6B" w:rsidRPr="00094A6B" w:rsidTr="007706BB">
        <w:trPr>
          <w:trHeight w:val="513"/>
        </w:trPr>
        <w:tc>
          <w:tcPr>
            <w:tcW w:w="1804" w:type="dxa"/>
          </w:tcPr>
          <w:p w:rsidR="00094A6B" w:rsidRPr="00094A6B" w:rsidRDefault="00094A6B" w:rsidP="00094A6B">
            <w:pPr>
              <w:autoSpaceDE w:val="0"/>
              <w:autoSpaceDN w:val="0"/>
              <w:adjustRightInd w:val="0"/>
              <w:spacing w:after="0" w:line="240" w:lineRule="auto"/>
              <w:rPr>
                <w:rFonts w:ascii="Calibri" w:hAnsi="Calibri" w:cs="Calibri"/>
                <w:b/>
                <w:color w:val="000000"/>
              </w:rPr>
            </w:pPr>
            <w:r w:rsidRPr="00094A6B">
              <w:rPr>
                <w:rFonts w:ascii="Calibri" w:hAnsi="Calibri" w:cs="Calibri"/>
                <w:b/>
                <w:color w:val="000000"/>
              </w:rPr>
              <w:t xml:space="preserve">Pyramide régulière </w:t>
            </w:r>
          </w:p>
        </w:tc>
        <w:tc>
          <w:tcPr>
            <w:tcW w:w="3969"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p>
        </w:tc>
        <w:tc>
          <w:tcPr>
            <w:tcW w:w="4678" w:type="dxa"/>
          </w:tcPr>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Identifier pour une pyramide régulière le nombre et la forme de ses faces, le nombre de sommets et d’arêtes, les arêtes de même longueur.</w:t>
            </w:r>
          </w:p>
        </w:tc>
        <w:tc>
          <w:tcPr>
            <w:tcW w:w="4528" w:type="dxa"/>
          </w:tcPr>
          <w:p w:rsidR="00094A6B" w:rsidRPr="00094A6B" w:rsidRDefault="00094A6B" w:rsidP="00094A6B">
            <w:pPr>
              <w:autoSpaceDE w:val="0"/>
              <w:autoSpaceDN w:val="0"/>
              <w:adjustRightInd w:val="0"/>
              <w:spacing w:after="0" w:line="240" w:lineRule="auto"/>
              <w:rPr>
                <w:rFonts w:ascii="Calibri" w:hAnsi="Calibri"/>
                <w:sz w:val="24"/>
                <w:szCs w:val="24"/>
              </w:rPr>
            </w:pP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Reconnaître un patron de pyramide régulière. </w:t>
            </w:r>
          </w:p>
          <w:p w:rsidR="00094A6B" w:rsidRPr="00094A6B" w:rsidRDefault="00094A6B" w:rsidP="00094A6B">
            <w:pPr>
              <w:autoSpaceDE w:val="0"/>
              <w:autoSpaceDN w:val="0"/>
              <w:adjustRightInd w:val="0"/>
              <w:spacing w:after="0" w:line="240" w:lineRule="auto"/>
              <w:rPr>
                <w:rFonts w:ascii="Calibri" w:hAnsi="Calibri" w:cs="Calibri"/>
                <w:color w:val="000000"/>
              </w:rPr>
            </w:pPr>
            <w:r w:rsidRPr="00094A6B">
              <w:rPr>
                <w:rFonts w:ascii="Calibri" w:hAnsi="Calibri" w:cs="Calibri"/>
                <w:color w:val="000000"/>
              </w:rPr>
              <w:t xml:space="preserve">- Compléter un patron de pyramide régulière. </w:t>
            </w:r>
          </w:p>
          <w:p w:rsidR="00094A6B" w:rsidRPr="00094A6B" w:rsidRDefault="00094A6B" w:rsidP="00094A6B">
            <w:pPr>
              <w:autoSpaceDE w:val="0"/>
              <w:autoSpaceDN w:val="0"/>
              <w:adjustRightInd w:val="0"/>
              <w:spacing w:after="0" w:line="240" w:lineRule="auto"/>
              <w:rPr>
                <w:rFonts w:ascii="Calibri" w:hAnsi="Calibri" w:cs="Calibri"/>
                <w:color w:val="000000"/>
              </w:rPr>
            </w:pPr>
          </w:p>
        </w:tc>
      </w:tr>
    </w:tbl>
    <w:p w:rsidR="00094A6B" w:rsidRDefault="00094A6B">
      <w:bookmarkStart w:id="0" w:name="_GoBack"/>
      <w:bookmarkEnd w:id="0"/>
    </w:p>
    <w:sectPr w:rsidR="00094A6B" w:rsidSect="00094A6B">
      <w:pgSz w:w="16838" w:h="11906" w:orient="landscape"/>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6B" w:rsidRDefault="00094A6B" w:rsidP="00094A6B">
      <w:pPr>
        <w:spacing w:after="0" w:line="240" w:lineRule="auto"/>
      </w:pPr>
      <w:r>
        <w:separator/>
      </w:r>
    </w:p>
  </w:endnote>
  <w:endnote w:type="continuationSeparator" w:id="0">
    <w:p w:rsidR="00094A6B" w:rsidRDefault="00094A6B" w:rsidP="0009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6B" w:rsidRDefault="00094A6B" w:rsidP="00094A6B">
      <w:pPr>
        <w:spacing w:after="0" w:line="240" w:lineRule="auto"/>
      </w:pPr>
      <w:r>
        <w:separator/>
      </w:r>
    </w:p>
  </w:footnote>
  <w:footnote w:type="continuationSeparator" w:id="0">
    <w:p w:rsidR="00094A6B" w:rsidRDefault="00094A6B" w:rsidP="00094A6B">
      <w:pPr>
        <w:spacing w:after="0" w:line="240" w:lineRule="auto"/>
      </w:pPr>
      <w:r>
        <w:continuationSeparator/>
      </w:r>
    </w:p>
  </w:footnote>
  <w:footnote w:id="1">
    <w:p w:rsidR="00094A6B" w:rsidRDefault="00094A6B" w:rsidP="00094A6B">
      <w:pPr>
        <w:pStyle w:val="Notedebasdepage"/>
      </w:pPr>
      <w:r>
        <w:rPr>
          <w:rStyle w:val="Appelnotedebasdep"/>
        </w:rPr>
        <w:footnoteRef/>
      </w:r>
      <w:r>
        <w:t xml:space="preserve"> D’après un travail réalisé par le groupe d’experts -mathématiques chargés de proposer les éléments constitutifs des programmes au Conseil Supérieur des Programmes.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A56"/>
    <w:multiLevelType w:val="hybridMultilevel"/>
    <w:tmpl w:val="C30C1C9E"/>
    <w:lvl w:ilvl="0" w:tplc="B3F0A7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8A2086"/>
    <w:multiLevelType w:val="hybridMultilevel"/>
    <w:tmpl w:val="0F269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A2"/>
    <w:rsid w:val="00094A6B"/>
    <w:rsid w:val="000C3BA2"/>
    <w:rsid w:val="004D677E"/>
    <w:rsid w:val="007A4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3C12"/>
  <w15:chartTrackingRefBased/>
  <w15:docId w15:val="{B56E2975-0755-44BD-BD77-22821528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4A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A6B"/>
    <w:rPr>
      <w:sz w:val="20"/>
      <w:szCs w:val="20"/>
    </w:rPr>
  </w:style>
  <w:style w:type="character" w:styleId="Appelnotedebasdep">
    <w:name w:val="footnote reference"/>
    <w:basedOn w:val="Policepardfaut"/>
    <w:uiPriority w:val="99"/>
    <w:semiHidden/>
    <w:unhideWhenUsed/>
    <w:rsid w:val="00094A6B"/>
    <w:rPr>
      <w:vertAlign w:val="superscript"/>
    </w:rPr>
  </w:style>
  <w:style w:type="paragraph" w:styleId="Paragraphedeliste">
    <w:name w:val="List Paragraph"/>
    <w:basedOn w:val="Normal"/>
    <w:uiPriority w:val="34"/>
    <w:qFormat/>
    <w:rsid w:val="00094A6B"/>
    <w:pPr>
      <w:spacing w:after="200" w:line="276" w:lineRule="auto"/>
      <w:ind w:left="720"/>
      <w:contextualSpacing/>
    </w:pPr>
  </w:style>
  <w:style w:type="paragraph" w:customStyle="1" w:styleId="Default">
    <w:name w:val="Default"/>
    <w:rsid w:val="00094A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1604</Words>
  <Characters>8826</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MOTTEAU</dc:creator>
  <cp:keywords/>
  <dc:description/>
  <cp:lastModifiedBy>Christine MOTTEAU</cp:lastModifiedBy>
  <cp:revision>3</cp:revision>
  <dcterms:created xsi:type="dcterms:W3CDTF">2016-03-21T09:05:00Z</dcterms:created>
  <dcterms:modified xsi:type="dcterms:W3CDTF">2016-03-21T09:16:00Z</dcterms:modified>
</cp:coreProperties>
</file>